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A" w:rsidRPr="0055609C" w:rsidRDefault="00392B1A" w:rsidP="005901CF">
      <w:pPr>
        <w:pStyle w:val="normal-header"/>
        <w:ind w:firstLine="0"/>
        <w:rPr>
          <w:color w:val="auto"/>
        </w:rPr>
      </w:pPr>
    </w:p>
    <w:p w:rsidR="00232166" w:rsidRPr="00175F9C" w:rsidRDefault="0055609C" w:rsidP="00232166">
      <w:pPr>
        <w:pStyle w:val="normal-header"/>
        <w:ind w:right="24" w:firstLine="0"/>
        <w:jc w:val="left"/>
        <w:rPr>
          <w:color w:val="auto"/>
        </w:rPr>
      </w:pPr>
      <w:r w:rsidRPr="00175F9C">
        <w:rPr>
          <w:color w:val="auto"/>
        </w:rPr>
        <w:t>2015</w:t>
      </w:r>
      <w:r w:rsidR="00AC5B21" w:rsidRPr="00175F9C">
        <w:rPr>
          <w:color w:val="auto"/>
        </w:rPr>
        <w:t xml:space="preserve"> </w:t>
      </w:r>
      <w:r w:rsidR="00392B1A" w:rsidRPr="00175F9C">
        <w:rPr>
          <w:color w:val="auto"/>
        </w:rPr>
        <w:t xml:space="preserve">| </w:t>
      </w:r>
      <w:r w:rsidR="00EC2128" w:rsidRPr="00175F9C">
        <w:rPr>
          <w:color w:val="auto"/>
        </w:rPr>
        <w:t>12</w:t>
      </w:r>
      <w:r w:rsidR="002441AB" w:rsidRPr="00175F9C">
        <w:rPr>
          <w:color w:val="auto"/>
        </w:rPr>
        <w:t xml:space="preserve"> </w:t>
      </w:r>
      <w:r w:rsidR="00677B2C" w:rsidRPr="00175F9C">
        <w:rPr>
          <w:color w:val="auto"/>
        </w:rPr>
        <w:t xml:space="preserve">| </w:t>
      </w:r>
      <w:r w:rsidR="00175F9C" w:rsidRPr="00175F9C">
        <w:rPr>
          <w:color w:val="auto"/>
        </w:rPr>
        <w:t>10</w:t>
      </w:r>
    </w:p>
    <w:p w:rsidR="00BC63BE" w:rsidRPr="0055609C" w:rsidRDefault="0055609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color w:val="auto"/>
        </w:rPr>
      </w:pPr>
      <w:r w:rsidRPr="0055609C">
        <w:rPr>
          <w:color w:val="auto"/>
        </w:rPr>
        <w:t>Jász-nagykun-Szolnok megyei kormányhivatal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55609C">
      <w:pPr>
        <w:pStyle w:val="Sajtkzlemny"/>
        <w:tabs>
          <w:tab w:val="clear" w:pos="5670"/>
          <w:tab w:val="clear" w:pos="6804"/>
        </w:tabs>
        <w:ind w:firstLine="0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55609C" w:rsidRDefault="0055609C" w:rsidP="008D08C5">
      <w:pPr>
        <w:pStyle w:val="header-lead"/>
        <w:spacing w:before="40"/>
        <w:ind w:left="0"/>
        <w:rPr>
          <w:caps/>
          <w:color w:val="auto"/>
        </w:rPr>
      </w:pPr>
      <w:r w:rsidRPr="0055609C">
        <w:rPr>
          <w:caps/>
          <w:color w:val="auto"/>
        </w:rPr>
        <w:t>jász-nagykun-szolnok megye kormányablakaiban megvalósult a közszolgáltatásokhoz való egyenlő esélyű hozzáférés: akadálymentesítés</w:t>
      </w:r>
    </w:p>
    <w:p w:rsidR="005901CF" w:rsidRDefault="005901CF" w:rsidP="0055609C">
      <w:pPr>
        <w:pStyle w:val="normal-header"/>
        <w:ind w:firstLine="0"/>
        <w:jc w:val="left"/>
      </w:pPr>
    </w:p>
    <w:p w:rsidR="0055609C" w:rsidRPr="0055609C" w:rsidRDefault="0055609C" w:rsidP="0055609C">
      <w:pPr>
        <w:spacing w:after="0" w:line="300" w:lineRule="auto"/>
        <w:jc w:val="both"/>
        <w:rPr>
          <w:rFonts w:eastAsia="Times New Roman" w:cs="Arial"/>
          <w:b/>
          <w:color w:val="auto"/>
          <w:szCs w:val="20"/>
          <w:lang w:eastAsia="hu-HU"/>
        </w:rPr>
      </w:pPr>
      <w:r w:rsidRPr="0055609C">
        <w:rPr>
          <w:rFonts w:eastAsia="Calibri" w:cs="Arial"/>
          <w:b/>
          <w:color w:val="auto"/>
          <w:szCs w:val="20"/>
        </w:rPr>
        <w:t xml:space="preserve">A Jász-Nagykun-Szolnok Megyei Kormányhivatal és a Közigazgatási és Igazságügyi Hivatal a 2013. évben nyert támogatás alapján </w:t>
      </w:r>
      <w:r>
        <w:rPr>
          <w:rFonts w:eastAsia="Calibri" w:cs="Arial"/>
          <w:b/>
          <w:color w:val="auto"/>
          <w:szCs w:val="20"/>
        </w:rPr>
        <w:t xml:space="preserve">a </w:t>
      </w:r>
      <w:r w:rsidRPr="0055609C">
        <w:rPr>
          <w:rFonts w:eastAsia="Calibri" w:cs="Arial"/>
          <w:b/>
          <w:color w:val="auto"/>
          <w:szCs w:val="20"/>
        </w:rPr>
        <w:t>Társadalmi Infrastruktúra Operatív Program támogatási rendszeréhez benyújtott</w:t>
      </w:r>
      <w:r>
        <w:rPr>
          <w:rFonts w:eastAsia="Calibri" w:cs="Arial"/>
          <w:b/>
          <w:color w:val="auto"/>
          <w:szCs w:val="20"/>
        </w:rPr>
        <w:t>,</w:t>
      </w:r>
      <w:r w:rsidR="00385F7D">
        <w:rPr>
          <w:rFonts w:eastAsia="Calibri" w:cs="Arial"/>
          <w:b/>
          <w:color w:val="auto"/>
          <w:szCs w:val="20"/>
        </w:rPr>
        <w:t xml:space="preserve"> </w:t>
      </w:r>
      <w:r w:rsidRPr="0055609C">
        <w:rPr>
          <w:rFonts w:eastAsia="Calibri" w:cs="Arial"/>
          <w:b/>
          <w:color w:val="auto"/>
          <w:szCs w:val="20"/>
        </w:rPr>
        <w:t>,,</w:t>
      </w:r>
      <w:r w:rsidR="00385F7D">
        <w:rPr>
          <w:rFonts w:eastAsia="Calibri" w:cs="Arial"/>
          <w:b/>
          <w:color w:val="auto"/>
          <w:szCs w:val="20"/>
        </w:rPr>
        <w:t>J</w:t>
      </w:r>
      <w:r w:rsidRPr="0055609C">
        <w:rPr>
          <w:rFonts w:eastAsia="Calibri" w:cs="Arial"/>
          <w:b/>
          <w:color w:val="auto"/>
          <w:szCs w:val="20"/>
        </w:rPr>
        <w:t>ász-Nagykun-Szolnok Megye kormányablakaiban a közszolgáltatásokhoz való egyenlő esélyű hozzáférés megteremtése: akadálymentesítés,, című, TIOP-3.3.1/A-12/2-2013-0005 kódszámú projekt</w:t>
      </w:r>
      <w:r>
        <w:rPr>
          <w:rFonts w:eastAsia="Calibri" w:cs="Arial"/>
          <w:b/>
          <w:color w:val="auto"/>
          <w:szCs w:val="20"/>
        </w:rPr>
        <w:t xml:space="preserve"> megvalósítására</w:t>
      </w:r>
      <w:r w:rsidRPr="0055609C">
        <w:rPr>
          <w:rFonts w:eastAsia="Calibri" w:cs="Arial"/>
          <w:b/>
          <w:color w:val="auto"/>
          <w:szCs w:val="20"/>
        </w:rPr>
        <w:t xml:space="preserve"> 220.400.000.-Ft támogatásban részesült.</w:t>
      </w:r>
    </w:p>
    <w:p w:rsidR="005901CF" w:rsidRPr="001D3FAB" w:rsidRDefault="005901CF" w:rsidP="005901CF">
      <w:pPr>
        <w:pStyle w:val="normal-header"/>
        <w:ind w:firstLine="0"/>
        <w:rPr>
          <w:sz w:val="16"/>
          <w:szCs w:val="16"/>
        </w:rPr>
      </w:pPr>
    </w:p>
    <w:p w:rsidR="0055609C" w:rsidRPr="0055609C" w:rsidRDefault="0055609C" w:rsidP="0055609C">
      <w:pPr>
        <w:spacing w:after="0" w:line="30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55609C">
        <w:rPr>
          <w:rFonts w:eastAsia="Times New Roman" w:cs="Arial"/>
          <w:color w:val="auto"/>
          <w:szCs w:val="20"/>
          <w:lang w:eastAsia="hu-HU"/>
        </w:rPr>
        <w:t>A Kormányablakok a Kormányhivatalok integrált ügyfélszolgálati irodái, melyek a 2013.01.01-től megalakult járási hivatalok székhelyein is helyet kaptak. A Kormányablakok száma jelentősen bővült, és az ott elintézhető ügyek száma is folyamatosan növekedett. Az ügyfélszolgálatok jellemzően a településeken lévő okmányirodák bázisán jöttek létre, tehát a működő irodák, helyiségek belsőépítészeti átalakításával - válaszfalak bontása, áthelyezése-, és akadálymentesítésével kerültek kialakításra a meglévő épületekben.</w:t>
      </w:r>
    </w:p>
    <w:p w:rsidR="0055609C" w:rsidRPr="0055609C" w:rsidRDefault="0055609C" w:rsidP="0055609C">
      <w:pPr>
        <w:spacing w:after="0" w:line="300" w:lineRule="auto"/>
        <w:jc w:val="both"/>
        <w:rPr>
          <w:rFonts w:eastAsia="Times New Roman" w:cs="Arial"/>
          <w:color w:val="FF0000"/>
          <w:sz w:val="16"/>
          <w:szCs w:val="16"/>
          <w:lang w:eastAsia="hu-HU"/>
        </w:rPr>
      </w:pPr>
    </w:p>
    <w:p w:rsidR="001D3FAB" w:rsidRDefault="0055609C" w:rsidP="0055609C">
      <w:pPr>
        <w:spacing w:after="0" w:line="30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55609C">
        <w:rPr>
          <w:rFonts w:eastAsia="Times New Roman" w:cs="Arial"/>
          <w:color w:val="auto"/>
          <w:szCs w:val="20"/>
          <w:lang w:eastAsia="hu-HU"/>
        </w:rPr>
        <w:t>A projekt keretében Jász-Nagykun-Szolnok megye 8 városában, 9 kormányablakot magába foglaló épület komplex akadálymentesítése valósult meg. A fejlesztéssel érintett települések: Jászárokszállás, Jászberény, Karcag, Kisújszállás, Kunhegyes, Kunszentmárton, Szolnok két helyszín, Tiszafüred.</w:t>
      </w:r>
      <w:r w:rsidR="001D3FAB">
        <w:rPr>
          <w:rFonts w:eastAsia="Times New Roman" w:cs="Arial"/>
          <w:color w:val="auto"/>
          <w:szCs w:val="20"/>
          <w:lang w:eastAsia="hu-HU"/>
        </w:rPr>
        <w:t xml:space="preserve"> </w:t>
      </w:r>
    </w:p>
    <w:p w:rsidR="001D3FAB" w:rsidRPr="001D3FAB" w:rsidRDefault="001D3FAB" w:rsidP="0055609C">
      <w:pPr>
        <w:spacing w:after="0" w:line="300" w:lineRule="auto"/>
        <w:jc w:val="both"/>
        <w:rPr>
          <w:rFonts w:eastAsia="Times New Roman" w:cs="Arial"/>
          <w:color w:val="auto"/>
          <w:sz w:val="16"/>
          <w:szCs w:val="16"/>
          <w:lang w:eastAsia="hu-HU"/>
        </w:rPr>
      </w:pPr>
    </w:p>
    <w:p w:rsidR="0055609C" w:rsidRPr="0055609C" w:rsidRDefault="0055609C" w:rsidP="0055609C">
      <w:pPr>
        <w:spacing w:after="0" w:line="30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55609C">
        <w:rPr>
          <w:rFonts w:eastAsia="Times New Roman" w:cs="Arial"/>
          <w:color w:val="auto"/>
          <w:szCs w:val="20"/>
          <w:lang w:eastAsia="hu-HU"/>
        </w:rPr>
        <w:t>A fejlesztési helyszíneken „bizalmas” tárgyaló és tágas, átlátható ügyfélterek kialakítására is sort kerül</w:t>
      </w:r>
      <w:r w:rsidR="005F44FD">
        <w:rPr>
          <w:rFonts w:eastAsia="Times New Roman" w:cs="Arial"/>
          <w:color w:val="auto"/>
          <w:szCs w:val="20"/>
          <w:lang w:eastAsia="hu-HU"/>
        </w:rPr>
        <w:t>t</w:t>
      </w:r>
      <w:r w:rsidRPr="0055609C">
        <w:rPr>
          <w:rFonts w:eastAsia="Times New Roman" w:cs="Arial"/>
          <w:color w:val="auto"/>
          <w:szCs w:val="20"/>
          <w:lang w:eastAsia="hu-HU"/>
        </w:rPr>
        <w:t xml:space="preserve">, sorszámhúzóval, információs terminállal, információs- és ügyfélpulttal, játszósarokkal. A kivitelezési munkálatok keretében az épületeken belüli közlekedés teljesen akadálymentessé vált, megvalósult a nyílászárók és burkolatok cseréje taktilis </w:t>
      </w:r>
      <w:r w:rsidR="00A85352">
        <w:rPr>
          <w:rFonts w:eastAsia="Times New Roman" w:cs="Arial"/>
          <w:color w:val="auto"/>
          <w:szCs w:val="20"/>
          <w:lang w:eastAsia="hu-HU"/>
        </w:rPr>
        <w:t>sávval,</w:t>
      </w:r>
      <w:r w:rsidRPr="0055609C">
        <w:rPr>
          <w:rFonts w:eastAsia="Times New Roman" w:cs="Arial"/>
          <w:color w:val="auto"/>
          <w:szCs w:val="20"/>
          <w:lang w:eastAsia="hu-HU"/>
        </w:rPr>
        <w:t xml:space="preserve"> akadálymentes vizesblokkok </w:t>
      </w:r>
      <w:r w:rsidR="00A85352">
        <w:rPr>
          <w:rFonts w:eastAsia="Times New Roman" w:cs="Arial"/>
          <w:color w:val="auto"/>
          <w:szCs w:val="20"/>
          <w:lang w:eastAsia="hu-HU"/>
        </w:rPr>
        <w:t xml:space="preserve">kerültek </w:t>
      </w:r>
      <w:r w:rsidRPr="0055609C">
        <w:rPr>
          <w:rFonts w:eastAsia="Times New Roman" w:cs="Arial"/>
          <w:color w:val="auto"/>
          <w:szCs w:val="20"/>
          <w:lang w:eastAsia="hu-HU"/>
        </w:rPr>
        <w:t>kialakítás</w:t>
      </w:r>
      <w:r w:rsidR="00A85352">
        <w:rPr>
          <w:rFonts w:eastAsia="Times New Roman" w:cs="Arial"/>
          <w:color w:val="auto"/>
          <w:szCs w:val="20"/>
          <w:lang w:eastAsia="hu-HU"/>
        </w:rPr>
        <w:t>r</w:t>
      </w:r>
      <w:r w:rsidRPr="0055609C">
        <w:rPr>
          <w:rFonts w:eastAsia="Times New Roman" w:cs="Arial"/>
          <w:color w:val="auto"/>
          <w:szCs w:val="20"/>
          <w:lang w:eastAsia="hu-HU"/>
        </w:rPr>
        <w:t>a. Az épületek megközelítése is akadálymentes, megfelelő bejárati ajtók</w:t>
      </w:r>
      <w:r w:rsidR="00A85352">
        <w:rPr>
          <w:rFonts w:eastAsia="Times New Roman" w:cs="Arial"/>
          <w:color w:val="auto"/>
          <w:szCs w:val="20"/>
          <w:lang w:eastAsia="hu-HU"/>
        </w:rPr>
        <w:t xml:space="preserve"> kerültek beépítésre, rámpával</w:t>
      </w:r>
      <w:r w:rsidRPr="0055609C">
        <w:rPr>
          <w:rFonts w:eastAsia="Times New Roman" w:cs="Arial"/>
          <w:color w:val="auto"/>
          <w:szCs w:val="20"/>
          <w:lang w:eastAsia="hu-HU"/>
        </w:rPr>
        <w:t>, korlát</w:t>
      </w:r>
      <w:r w:rsidR="00A85352">
        <w:rPr>
          <w:rFonts w:eastAsia="Times New Roman" w:cs="Arial"/>
          <w:color w:val="auto"/>
          <w:szCs w:val="20"/>
          <w:lang w:eastAsia="hu-HU"/>
        </w:rPr>
        <w:t>okkal</w:t>
      </w:r>
      <w:r w:rsidRPr="0055609C">
        <w:rPr>
          <w:rFonts w:eastAsia="Times New Roman" w:cs="Arial"/>
          <w:color w:val="auto"/>
          <w:szCs w:val="20"/>
          <w:lang w:eastAsia="hu-HU"/>
        </w:rPr>
        <w:t>, akadálymentes parkoló</w:t>
      </w:r>
      <w:r w:rsidR="00A85352">
        <w:rPr>
          <w:rFonts w:eastAsia="Times New Roman" w:cs="Arial"/>
          <w:color w:val="auto"/>
          <w:szCs w:val="20"/>
          <w:lang w:eastAsia="hu-HU"/>
        </w:rPr>
        <w:t>val</w:t>
      </w:r>
      <w:r w:rsidRPr="0055609C">
        <w:rPr>
          <w:rFonts w:eastAsia="Times New Roman" w:cs="Arial"/>
          <w:color w:val="auto"/>
          <w:szCs w:val="20"/>
          <w:lang w:eastAsia="hu-HU"/>
        </w:rPr>
        <w:t>, kültéri burkolatok cseréjével, támfal építésével. A tájékozódást infokommunikációs eszközök segítik, többek között braille írással és piktogrammal ellátott információs táblák, hangos vagy tapintható térkép, és a hallássérültek számára indukciós hangerősítő hurok rendszer, vezető és figyelmeztető sávok</w:t>
      </w:r>
      <w:r w:rsidR="00A85352">
        <w:rPr>
          <w:rFonts w:eastAsia="Times New Roman" w:cs="Arial"/>
          <w:color w:val="auto"/>
          <w:szCs w:val="20"/>
          <w:lang w:eastAsia="hu-HU"/>
        </w:rPr>
        <w:t>kal</w:t>
      </w:r>
      <w:r w:rsidRPr="0055609C">
        <w:rPr>
          <w:rFonts w:eastAsia="Times New Roman" w:cs="Arial"/>
          <w:color w:val="auto"/>
          <w:szCs w:val="20"/>
          <w:lang w:eastAsia="hu-HU"/>
        </w:rPr>
        <w:t>. A fejlesztés keretében a szolgáltatás ellátásához szükséges akadálymentességi kialakítású bútorok, berendezések beszerzése is megvalósult.</w:t>
      </w:r>
    </w:p>
    <w:p w:rsidR="0055609C" w:rsidRPr="0055609C" w:rsidRDefault="0055609C" w:rsidP="0055609C">
      <w:pPr>
        <w:spacing w:after="0" w:line="300" w:lineRule="auto"/>
        <w:jc w:val="both"/>
        <w:rPr>
          <w:rFonts w:eastAsia="Times New Roman" w:cs="Arial"/>
          <w:color w:val="auto"/>
          <w:sz w:val="16"/>
          <w:szCs w:val="16"/>
          <w:lang w:eastAsia="hu-HU"/>
        </w:rPr>
      </w:pPr>
    </w:p>
    <w:p w:rsidR="0055609C" w:rsidRPr="0055609C" w:rsidRDefault="0055609C" w:rsidP="0055609C">
      <w:pPr>
        <w:spacing w:after="0" w:line="300" w:lineRule="auto"/>
        <w:jc w:val="both"/>
        <w:rPr>
          <w:rFonts w:eastAsia="Times New Roman" w:cs="Arial"/>
          <w:color w:val="FF0000"/>
          <w:szCs w:val="20"/>
          <w:lang w:eastAsia="hu-HU"/>
        </w:rPr>
      </w:pPr>
      <w:r w:rsidRPr="0055609C">
        <w:rPr>
          <w:rFonts w:eastAsia="Times New Roman" w:cs="Arial"/>
          <w:color w:val="auto"/>
          <w:szCs w:val="20"/>
          <w:lang w:eastAsia="hu-HU"/>
        </w:rPr>
        <w:t>Az ép</w:t>
      </w:r>
      <w:r w:rsidR="00D84F85">
        <w:rPr>
          <w:rFonts w:eastAsia="Times New Roman" w:cs="Arial"/>
          <w:color w:val="auto"/>
          <w:szCs w:val="20"/>
          <w:lang w:eastAsia="hu-HU"/>
        </w:rPr>
        <w:t>ítési munkálatok 2014. január 20</w:t>
      </w:r>
      <w:r w:rsidRPr="0055609C">
        <w:rPr>
          <w:rFonts w:eastAsia="Times New Roman" w:cs="Arial"/>
          <w:color w:val="auto"/>
          <w:szCs w:val="20"/>
          <w:lang w:eastAsia="hu-HU"/>
        </w:rPr>
        <w:t>-án ke</w:t>
      </w:r>
      <w:r w:rsidR="008452F7">
        <w:rPr>
          <w:rFonts w:eastAsia="Times New Roman" w:cs="Arial"/>
          <w:color w:val="auto"/>
          <w:szCs w:val="20"/>
          <w:lang w:eastAsia="hu-HU"/>
        </w:rPr>
        <w:t>zdődt</w:t>
      </w:r>
      <w:r w:rsidRPr="0055609C">
        <w:rPr>
          <w:rFonts w:eastAsia="Times New Roman" w:cs="Arial"/>
          <w:color w:val="auto"/>
          <w:szCs w:val="20"/>
          <w:lang w:eastAsia="hu-HU"/>
        </w:rPr>
        <w:t>ek</w:t>
      </w:r>
      <w:r w:rsidR="00A85352">
        <w:rPr>
          <w:rFonts w:eastAsia="Times New Roman" w:cs="Arial"/>
          <w:color w:val="auto"/>
          <w:szCs w:val="20"/>
          <w:lang w:eastAsia="hu-HU"/>
        </w:rPr>
        <w:t>.</w:t>
      </w:r>
      <w:r w:rsidRPr="0055609C">
        <w:rPr>
          <w:rFonts w:eastAsia="Times New Roman" w:cs="Arial"/>
          <w:color w:val="auto"/>
          <w:szCs w:val="20"/>
          <w:lang w:eastAsia="hu-HU"/>
        </w:rPr>
        <w:t xml:space="preserve"> A projekt befejezése: </w:t>
      </w:r>
      <w:r w:rsidRPr="00175F9C">
        <w:rPr>
          <w:rFonts w:eastAsia="Times New Roman" w:cs="Arial"/>
          <w:color w:val="auto"/>
          <w:szCs w:val="20"/>
          <w:lang w:eastAsia="hu-HU"/>
        </w:rPr>
        <w:t xml:space="preserve">2015. </w:t>
      </w:r>
      <w:r w:rsidR="0077044E">
        <w:rPr>
          <w:rFonts w:eastAsia="Times New Roman" w:cs="Arial"/>
          <w:color w:val="auto"/>
          <w:szCs w:val="20"/>
          <w:lang w:eastAsia="hu-HU"/>
        </w:rPr>
        <w:t>december 20.</w:t>
      </w:r>
      <w:bookmarkStart w:id="0" w:name="_GoBack"/>
      <w:bookmarkEnd w:id="0"/>
    </w:p>
    <w:p w:rsidR="0055609C" w:rsidRPr="001D3FAB" w:rsidRDefault="0055609C" w:rsidP="0055609C">
      <w:pPr>
        <w:pStyle w:val="normal-header"/>
        <w:ind w:firstLine="0"/>
        <w:rPr>
          <w:rFonts w:eastAsia="Times New Roman" w:cs="Arial"/>
          <w:color w:val="231F20"/>
          <w:sz w:val="16"/>
          <w:szCs w:val="16"/>
          <w:lang w:eastAsia="hu-HU"/>
        </w:rPr>
      </w:pPr>
    </w:p>
    <w:p w:rsidR="0055609C" w:rsidRDefault="0055609C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  <w:r w:rsidRPr="0055609C">
        <w:rPr>
          <w:rFonts w:eastAsia="Times New Roman" w:cs="Arial"/>
          <w:color w:val="231F20"/>
          <w:szCs w:val="20"/>
          <w:lang w:eastAsia="hu-HU"/>
        </w:rPr>
        <w:t xml:space="preserve">A projekt eredményeképpen az épületek teljes körű akadálymentesítésével az ott folyó közszolgáltatás egyenlő esélyű hozzáférése biztosítottá válik, a szolgáltatások színvonala jelentősen javul.  Az épületek megközelítése, és a belső terek használata a fogyatékkal élők - mozgásukban korlátozottak, vakok és gyengén látók, siketek és nagyothallók -, időskorúk, betegek, babakocsival érkezők részére </w:t>
      </w:r>
      <w:r w:rsidRPr="0055609C">
        <w:rPr>
          <w:rFonts w:eastAsia="Times New Roman" w:cs="Arial"/>
          <w:color w:val="auto"/>
          <w:szCs w:val="20"/>
          <w:lang w:eastAsia="hu-HU"/>
        </w:rPr>
        <w:t>is könnyen elérhető.</w:t>
      </w: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</w:p>
    <w:p w:rsidR="00560E0E" w:rsidRDefault="00560E0E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</w:p>
    <w:p w:rsidR="00560E0E" w:rsidRDefault="00560E0E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</w:p>
    <w:p w:rsidR="00560E0E" w:rsidRDefault="00560E0E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  <w:r>
        <w:rPr>
          <w:rFonts w:eastAsia="Times New Roman" w:cs="Arial"/>
          <w:color w:val="auto"/>
          <w:szCs w:val="20"/>
          <w:lang w:eastAsia="hu-HU"/>
        </w:rPr>
        <w:t xml:space="preserve">Projekt címe, azonosítója: </w:t>
      </w:r>
      <w:proofErr w:type="gramStart"/>
      <w:r>
        <w:rPr>
          <w:rFonts w:eastAsia="Times New Roman" w:cs="Arial"/>
          <w:color w:val="auto"/>
          <w:szCs w:val="20"/>
          <w:lang w:eastAsia="hu-HU"/>
        </w:rPr>
        <w:t>„ Jász-Nagykun-Szolnok</w:t>
      </w:r>
      <w:proofErr w:type="gramEnd"/>
      <w:r>
        <w:rPr>
          <w:rFonts w:eastAsia="Times New Roman" w:cs="Arial"/>
          <w:color w:val="auto"/>
          <w:szCs w:val="20"/>
          <w:lang w:eastAsia="hu-HU"/>
        </w:rPr>
        <w:t xml:space="preserve"> Megye kormányablakaiban a közszolgáltatásokhoz való </w:t>
      </w:r>
    </w:p>
    <w:p w:rsidR="00560E0E" w:rsidRDefault="00560E0E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  <w:r>
        <w:rPr>
          <w:rFonts w:eastAsia="Times New Roman" w:cs="Arial"/>
          <w:color w:val="auto"/>
          <w:szCs w:val="20"/>
          <w:lang w:eastAsia="hu-HU"/>
        </w:rPr>
        <w:t xml:space="preserve">                                          </w:t>
      </w:r>
      <w:proofErr w:type="spellStart"/>
      <w:r>
        <w:rPr>
          <w:rFonts w:eastAsia="Times New Roman" w:cs="Arial"/>
          <w:color w:val="auto"/>
          <w:szCs w:val="20"/>
          <w:lang w:eastAsia="hu-HU"/>
        </w:rPr>
        <w:t>egyenló</w:t>
      </w:r>
      <w:proofErr w:type="spellEnd"/>
      <w:r>
        <w:rPr>
          <w:rFonts w:eastAsia="Times New Roman" w:cs="Arial"/>
          <w:color w:val="auto"/>
          <w:szCs w:val="20"/>
          <w:lang w:eastAsia="hu-HU"/>
        </w:rPr>
        <w:t xml:space="preserve"> esélyű hozzáférés megteremtése: akadálymentesítés </w:t>
      </w:r>
      <w:proofErr w:type="gramStart"/>
      <w:r>
        <w:rPr>
          <w:rFonts w:eastAsia="Times New Roman" w:cs="Arial"/>
          <w:color w:val="auto"/>
          <w:szCs w:val="20"/>
          <w:lang w:eastAsia="hu-HU"/>
        </w:rPr>
        <w:t>„</w:t>
      </w:r>
      <w:proofErr w:type="gramEnd"/>
    </w:p>
    <w:p w:rsidR="00560E0E" w:rsidRDefault="00560E0E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  <w:r>
        <w:rPr>
          <w:rFonts w:eastAsia="Times New Roman" w:cs="Arial"/>
          <w:color w:val="auto"/>
          <w:szCs w:val="20"/>
          <w:lang w:eastAsia="hu-HU"/>
        </w:rPr>
        <w:t>Kedvezményezettek: Jász-Nagykun-Szolnok Megyei Kormányhivatal</w:t>
      </w: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  <w:r>
        <w:rPr>
          <w:rFonts w:eastAsia="Times New Roman" w:cs="Arial"/>
          <w:color w:val="auto"/>
          <w:szCs w:val="20"/>
          <w:lang w:eastAsia="hu-HU"/>
        </w:rPr>
        <w:t xml:space="preserve">                                Közigazgatási és Igazságügyi Hivatal</w:t>
      </w: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  <w:r>
        <w:rPr>
          <w:rFonts w:eastAsia="Times New Roman" w:cs="Arial"/>
          <w:color w:val="auto"/>
          <w:szCs w:val="20"/>
          <w:lang w:eastAsia="hu-HU"/>
        </w:rPr>
        <w:t>Elnyert támogatás: 220 400 000 Ft.</w:t>
      </w: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  <w:r>
        <w:rPr>
          <w:rFonts w:eastAsia="Times New Roman" w:cs="Arial"/>
          <w:color w:val="auto"/>
          <w:szCs w:val="20"/>
          <w:lang w:eastAsia="hu-HU"/>
        </w:rPr>
        <w:t>Támogatási intenzitás: 100%.</w:t>
      </w: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  <w:r>
        <w:rPr>
          <w:rFonts w:eastAsia="Times New Roman" w:cs="Arial"/>
          <w:color w:val="auto"/>
          <w:szCs w:val="20"/>
          <w:lang w:eastAsia="hu-HU"/>
        </w:rPr>
        <w:t>Projekt kezdés-befejezés: 2</w:t>
      </w:r>
      <w:r w:rsidR="00560E0E">
        <w:rPr>
          <w:rFonts w:eastAsia="Times New Roman" w:cs="Arial"/>
          <w:color w:val="auto"/>
          <w:szCs w:val="20"/>
          <w:lang w:eastAsia="hu-HU"/>
        </w:rPr>
        <w:t>013.február 1.-2015. december 20</w:t>
      </w:r>
      <w:r>
        <w:rPr>
          <w:rFonts w:eastAsia="Times New Roman" w:cs="Arial"/>
          <w:color w:val="auto"/>
          <w:szCs w:val="20"/>
          <w:lang w:eastAsia="hu-HU"/>
        </w:rPr>
        <w:t>.</w:t>
      </w:r>
    </w:p>
    <w:p w:rsidR="00D84F85" w:rsidRDefault="00D84F85" w:rsidP="0055609C">
      <w:pPr>
        <w:pStyle w:val="normal-header"/>
        <w:ind w:firstLine="0"/>
        <w:rPr>
          <w:rFonts w:eastAsia="Times New Roman" w:cs="Arial"/>
          <w:color w:val="auto"/>
          <w:szCs w:val="20"/>
          <w:lang w:eastAsia="hu-HU"/>
        </w:rPr>
      </w:pPr>
    </w:p>
    <w:p w:rsidR="00D84F85" w:rsidRPr="0055609C" w:rsidRDefault="00D84F85" w:rsidP="0055609C">
      <w:pPr>
        <w:pStyle w:val="normal-header"/>
        <w:ind w:firstLine="0"/>
        <w:rPr>
          <w:rFonts w:cs="Arial"/>
        </w:rPr>
      </w:pPr>
    </w:p>
    <w:sectPr w:rsidR="00D84F85" w:rsidRPr="0055609C" w:rsidSect="0055609C">
      <w:headerReference w:type="default" r:id="rId6"/>
      <w:footerReference w:type="default" r:id="rId7"/>
      <w:pgSz w:w="11906" w:h="16838" w:code="9"/>
      <w:pgMar w:top="2801" w:right="1134" w:bottom="567" w:left="1134" w:header="992" w:footer="1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DF" w:rsidRDefault="003730DF" w:rsidP="00AB4900">
      <w:pPr>
        <w:spacing w:after="0" w:line="240" w:lineRule="auto"/>
      </w:pPr>
      <w:r>
        <w:separator/>
      </w:r>
    </w:p>
  </w:endnote>
  <w:endnote w:type="continuationSeparator" w:id="0">
    <w:p w:rsidR="003730DF" w:rsidRDefault="003730DF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DF" w:rsidRDefault="003730DF" w:rsidP="00AB4900">
      <w:pPr>
        <w:spacing w:after="0" w:line="240" w:lineRule="auto"/>
      </w:pPr>
      <w:r>
        <w:separator/>
      </w:r>
    </w:p>
  </w:footnote>
  <w:footnote w:type="continuationSeparator" w:id="0">
    <w:p w:rsidR="003730DF" w:rsidRDefault="003730DF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4900"/>
    <w:rsid w:val="000018FF"/>
    <w:rsid w:val="00045F17"/>
    <w:rsid w:val="00081A6B"/>
    <w:rsid w:val="000B2CD5"/>
    <w:rsid w:val="000F4E96"/>
    <w:rsid w:val="00106C49"/>
    <w:rsid w:val="00111913"/>
    <w:rsid w:val="00146ACE"/>
    <w:rsid w:val="00175F9C"/>
    <w:rsid w:val="001D3FAB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730DF"/>
    <w:rsid w:val="00377E0B"/>
    <w:rsid w:val="00385F7D"/>
    <w:rsid w:val="00392B1A"/>
    <w:rsid w:val="003B09A5"/>
    <w:rsid w:val="003D5F77"/>
    <w:rsid w:val="004370CA"/>
    <w:rsid w:val="004C025B"/>
    <w:rsid w:val="004C5F83"/>
    <w:rsid w:val="004C625A"/>
    <w:rsid w:val="00522599"/>
    <w:rsid w:val="0055609C"/>
    <w:rsid w:val="00560E0E"/>
    <w:rsid w:val="005901CF"/>
    <w:rsid w:val="005D030D"/>
    <w:rsid w:val="005E2EDE"/>
    <w:rsid w:val="005F44FD"/>
    <w:rsid w:val="006610E7"/>
    <w:rsid w:val="006734FC"/>
    <w:rsid w:val="00677B2C"/>
    <w:rsid w:val="006A1E4D"/>
    <w:rsid w:val="006C0217"/>
    <w:rsid w:val="006D0ADF"/>
    <w:rsid w:val="007443E0"/>
    <w:rsid w:val="0077044E"/>
    <w:rsid w:val="0078269C"/>
    <w:rsid w:val="007A6928"/>
    <w:rsid w:val="00816521"/>
    <w:rsid w:val="00824A56"/>
    <w:rsid w:val="008452F7"/>
    <w:rsid w:val="00857F5C"/>
    <w:rsid w:val="008639A6"/>
    <w:rsid w:val="008B5441"/>
    <w:rsid w:val="008D08C5"/>
    <w:rsid w:val="009039F9"/>
    <w:rsid w:val="00922FBD"/>
    <w:rsid w:val="009A1752"/>
    <w:rsid w:val="009B38F5"/>
    <w:rsid w:val="009C486D"/>
    <w:rsid w:val="009D2C62"/>
    <w:rsid w:val="00A06EA7"/>
    <w:rsid w:val="00A422D2"/>
    <w:rsid w:val="00A46013"/>
    <w:rsid w:val="00A54B1C"/>
    <w:rsid w:val="00A63A25"/>
    <w:rsid w:val="00A85352"/>
    <w:rsid w:val="00AB4900"/>
    <w:rsid w:val="00AB6869"/>
    <w:rsid w:val="00AC5B21"/>
    <w:rsid w:val="00AE2160"/>
    <w:rsid w:val="00B50ED9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829A5"/>
    <w:rsid w:val="00D84F85"/>
    <w:rsid w:val="00DC0ECD"/>
    <w:rsid w:val="00DC5E5A"/>
    <w:rsid w:val="00E824DA"/>
    <w:rsid w:val="00E916FA"/>
    <w:rsid w:val="00EA2F16"/>
    <w:rsid w:val="00EC2128"/>
    <w:rsid w:val="00EF53E1"/>
    <w:rsid w:val="00F22288"/>
    <w:rsid w:val="00F42ACF"/>
    <w:rsid w:val="00F62661"/>
    <w:rsid w:val="00F7138D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02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Kiss Anita</cp:lastModifiedBy>
  <cp:revision>2</cp:revision>
  <cp:lastPrinted>2016-04-21T07:42:00Z</cp:lastPrinted>
  <dcterms:created xsi:type="dcterms:W3CDTF">2016-04-21T07:57:00Z</dcterms:created>
  <dcterms:modified xsi:type="dcterms:W3CDTF">2016-04-21T07:57:00Z</dcterms:modified>
</cp:coreProperties>
</file>