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8A08AFB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bookmarkStart w:id="1" w:name="tájnehez"/>
      <w:r>
        <w:rPr>
          <w:rFonts w:ascii="Arial" w:hAnsi="Arial" w:cs="Arial"/>
          <w:b/>
          <w:sz w:val="20"/>
          <w:szCs w:val="20"/>
        </w:rPr>
        <w:t>TÁJÉKOZTATÓ</w:t>
      </w:r>
      <w:bookmarkEnd w:id="1"/>
    </w:p>
    <w:p w14:paraId="320085D8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B5698">
        <w:rPr>
          <w:rFonts w:ascii="Arial" w:hAnsi="Arial" w:cs="Arial"/>
          <w:b/>
          <w:bCs/>
          <w:iCs/>
          <w:sz w:val="20"/>
          <w:szCs w:val="20"/>
        </w:rPr>
        <w:t>a „nehéz helyzetben lévő vállalkozás” továbbá az „egy és ugyanazon vállalkozás”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fogalmának meghatározásáról</w:t>
      </w:r>
    </w:p>
    <w:p w14:paraId="0C563C94" w14:textId="16F4697A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1. Általános szabályok</w:t>
      </w:r>
    </w:p>
    <w:p w14:paraId="434B4822" w14:textId="397F1E8D" w:rsidR="00AE3A15" w:rsidRPr="00AE3A15" w:rsidRDefault="00AE3A15" w:rsidP="00AE3A1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Az európai uniós versenyjogi értelemben vett állami támogatásokkal kapcsolatos eljárásról és a regionális támogatási térképről szóló 37/2011. (III. 22.) Korm. rendelet (a továbbiakban: 37/2011. (III. 22.) Korm. rendelet) 6. § (1) bekezdése szerint: 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>ha uniós állami támogatási szabály másként nem rendelkezik, nehéz helyzetben lévő vállalkozás nem részesülhet állami támogatásban.</w:t>
      </w:r>
    </w:p>
    <w:p w14:paraId="3D94B24A" w14:textId="5CC3C7A9" w:rsidR="00AE3A15" w:rsidRPr="001E1578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Szerződés 107. és 108. cikke alkalmazásában bizonyos támogatási kategóriáknak a belső piaccal összeegyeztethetővé nyilvánításáról szóló 2014. június 17-i, </w:t>
      </w:r>
      <w:r w:rsidRPr="001E1578">
        <w:rPr>
          <w:rFonts w:ascii="Arial" w:eastAsia="Cambria Math" w:hAnsi="Arial" w:cs="Arial"/>
          <w:color w:val="0000FF"/>
          <w:sz w:val="20"/>
          <w:szCs w:val="20"/>
          <w:u w:val="single"/>
          <w:lang w:eastAsia="hu-HU"/>
        </w:rPr>
        <w:t>651/2014/EU bizottsági rendelet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, illetve a </w:t>
      </w: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>37/2011. (III. 22.) Korm. rendelet 6. §. (4a) bekezdésének értelmében valamely vállalkozás akkor minősül nehéz helyzetben lévőnek, ha a következő feltételek közül legalább egy teljesül:</w:t>
      </w:r>
    </w:p>
    <w:p w14:paraId="71B844F3" w14:textId="00ECF858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Korlátolt felelősségű társaság esetén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14:paraId="6259BEE0" w14:textId="35D3684E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14:paraId="1AA43BC0" w14:textId="472C4EDA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14:paraId="2994F14B" w14:textId="77777777" w:rsidR="00AE3A15" w:rsidRPr="001E1578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120" w:afterAutospacing="0"/>
        <w:ind w:left="714" w:hanging="35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14:paraId="51F99B18" w14:textId="77777777" w:rsidR="00AE3A15" w:rsidRPr="00611A97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</w:pPr>
      <w:r w:rsidRPr="00611A97">
        <w:t>Olyan vállalkozás esetében, amely nem kkv, amennyiben az elmúlt két évben:</w:t>
      </w:r>
    </w:p>
    <w:p w14:paraId="6FBFC12E" w14:textId="77777777" w:rsidR="00AE3A15" w:rsidRPr="001E1578" w:rsidRDefault="00AE3A15" w:rsidP="00AE3A15">
      <w:pPr>
        <w:autoSpaceDE w:val="0"/>
        <w:autoSpaceDN w:val="0"/>
        <w:adjustRightInd w:val="0"/>
        <w:spacing w:after="0"/>
        <w:ind w:left="11"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(1) a vállalkozás könyv szerinti adósság-saját tőke aránya 7,5-nél magasabb volt és</w:t>
      </w:r>
    </w:p>
    <w:p w14:paraId="2A62FD45" w14:textId="77777777" w:rsidR="00AE3A15" w:rsidRPr="001E1578" w:rsidRDefault="00AE3A15" w:rsidP="00AE3A15">
      <w:pPr>
        <w:autoSpaceDE w:val="0"/>
        <w:autoSpaceDN w:val="0"/>
        <w:adjustRightInd w:val="0"/>
        <w:spacing w:after="0"/>
        <w:ind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(2) a vállalkozás EBITDA-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val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számolt kamatfedezeti rátája nem érte el az 1,0 értéket.</w:t>
      </w:r>
    </w:p>
    <w:p w14:paraId="329B07C6" w14:textId="77777777" w:rsid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3144127E" w14:textId="09D9E5AE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lastRenderedPageBreak/>
        <w:t xml:space="preserve">2. A </w:t>
      </w:r>
      <w:proofErr w:type="spellStart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mikro</w:t>
      </w:r>
      <w:proofErr w:type="spellEnd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-, kis- és középvállalkozások (KKV) meghatározása</w:t>
      </w:r>
    </w:p>
    <w:p w14:paraId="1B862C11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kis- és középvállalkozásokról, fejlődésük támogatásáról szóló 2004. évi XXXIV. törvény 3. §-a szerint KKV-nak minősül az a vállalkozás, amelynek:</w:t>
      </w:r>
    </w:p>
    <w:p w14:paraId="05554150" w14:textId="77777777" w:rsidR="00AE3A15" w:rsidRPr="001E1578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250 főnél kevesebb, és</w:t>
      </w:r>
    </w:p>
    <w:p w14:paraId="3D27E8BE" w14:textId="6140690F" w:rsidR="00AE3A15" w:rsidRPr="00AE3A15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legfeljebb 50 millió eurónak megfelelő forintösszeg, vagy mérlegfőösszege legfeljebb 43 millió eurónak megfelelő forintösszeg. (középvállalkozás)</w:t>
      </w:r>
    </w:p>
    <w:p w14:paraId="3F18852C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KKV kategórián belül kisvállalkozásnak minősül az a vállalkozás, amelynek:</w:t>
      </w:r>
    </w:p>
    <w:p w14:paraId="2AB9B75C" w14:textId="77777777" w:rsidR="00AE3A15" w:rsidRPr="001E1578" w:rsidRDefault="00AE3A15" w:rsidP="00AE3A15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50 főnél kevesebb, és</w:t>
      </w:r>
    </w:p>
    <w:p w14:paraId="33CB5329" w14:textId="79DFCC15" w:rsidR="00AE3A15" w:rsidRPr="00984614" w:rsidRDefault="00AE3A15" w:rsidP="00984614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10 millió eurónak megfelelő forintösszeg.</w:t>
      </w:r>
    </w:p>
    <w:p w14:paraId="4B4FF2B3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A KKV kategórián belül 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mikrovállalkozásnak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minősül az a vállalkozás, amelynek:</w:t>
      </w:r>
    </w:p>
    <w:p w14:paraId="551E8A81" w14:textId="77777777" w:rsidR="00AE3A15" w:rsidRPr="001E1578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10 főnél kevesebb, és</w:t>
      </w:r>
    </w:p>
    <w:p w14:paraId="127AA739" w14:textId="113D9E1F" w:rsidR="00AE3A15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2 millió eurónak megfelelő forintösszeg.</w:t>
      </w:r>
    </w:p>
    <w:p w14:paraId="03E7D585" w14:textId="77777777" w:rsidR="00AE3A15" w:rsidRPr="00AE3A15" w:rsidRDefault="00AE3A15" w:rsidP="00AE3A15">
      <w:pPr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66DEC7C" w14:textId="77777777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Nem minősül KKV-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nek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a vállalkozás, amelyben az állam vagy az önkormányzat közvetlen vagy közvetett tulajdoni részesedése (tőke vagy szavazati joga alapján) külön-külön vagy együttesen meghaladja a 25%-ot.</w:t>
      </w:r>
    </w:p>
    <w:p w14:paraId="4B5A4A71" w14:textId="6FF70304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B76EF2">
        <w:rPr>
          <w:rFonts w:ascii="Arial" w:eastAsia="Times New Roman" w:hAnsi="Arial" w:cs="Arial"/>
          <w:sz w:val="20"/>
          <w:szCs w:val="20"/>
          <w:lang w:eastAsia="hu-HU"/>
        </w:rPr>
        <w:t>https://nfsz.munka.hu/nfsz/document/5/9/0/3/doc_url/TAJEKOZTATO_KIS_KOZEP_ES_MIKRO_VALLALKOZASOK_BESOROLASAROL.docx</w:t>
      </w:r>
    </w:p>
    <w:p w14:paraId="61E69B4E" w14:textId="77777777" w:rsidR="00AE3A15" w:rsidRPr="005B5698" w:rsidRDefault="00AE3A15" w:rsidP="00AE3A15">
      <w:pPr>
        <w:rPr>
          <w:rFonts w:ascii="Arial" w:hAnsi="Arial" w:cs="Arial"/>
          <w:b/>
          <w:bCs/>
          <w:sz w:val="20"/>
          <w:szCs w:val="20"/>
        </w:rPr>
      </w:pPr>
      <w:r w:rsidRPr="005B5698">
        <w:rPr>
          <w:rFonts w:ascii="Arial" w:hAnsi="Arial" w:cs="Arial"/>
          <w:b/>
          <w:bCs/>
          <w:sz w:val="20"/>
          <w:szCs w:val="20"/>
        </w:rPr>
        <w:t>3. Egy és ugyanazon vállalkozás</w:t>
      </w:r>
    </w:p>
    <w:p w14:paraId="66E0D966" w14:textId="77777777" w:rsidR="00AE3A15" w:rsidRPr="005B5698" w:rsidRDefault="00AE3A15" w:rsidP="00AE3A15">
      <w:pPr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A </w:t>
      </w:r>
      <w:r w:rsidRPr="005B5698">
        <w:rPr>
          <w:rFonts w:ascii="Arial" w:hAnsi="Arial" w:cs="Arial"/>
          <w:bCs/>
          <w:sz w:val="20"/>
          <w:szCs w:val="20"/>
        </w:rPr>
        <w:t>37/2011. (III. 22.) Korm. rendelet 2. § 5a. pontja értelmében e</w:t>
      </w:r>
      <w:r w:rsidRPr="005B5698">
        <w:rPr>
          <w:rFonts w:ascii="Arial" w:hAnsi="Arial" w:cs="Arial"/>
          <w:iCs/>
          <w:sz w:val="20"/>
          <w:szCs w:val="20"/>
        </w:rPr>
        <w:t>gy és ugyanazon vállalkozás:</w:t>
      </w:r>
      <w:r w:rsidRPr="005B5698">
        <w:rPr>
          <w:rFonts w:ascii="Arial" w:hAnsi="Arial" w:cs="Arial"/>
          <w:sz w:val="20"/>
          <w:szCs w:val="20"/>
        </w:rPr>
        <w:t xml:space="preserve"> az 1407/2013/EU bizottsági rendelet 2. cikk (2) bekezdése, az 1408/2013/EU bizottsági rendelet 2. cikk (2) bekezdése a 717/2014/EU bizottsági rendelet 2. cikk (2) bekezdése, az (EU) 2023/2831 bizottsági rendelet 2. cikk (2) bekezdése és az (EU) 2023/2832 bizottsági rendelet 2. cikk (2) bekezdése szerinti vállalkozás.</w:t>
      </w:r>
    </w:p>
    <w:p w14:paraId="5B0104A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„Egy és ugyanazon vállalkozás” a fenti uniós rendeletek alkalmazásában valamennyi olyan vállalkozás, amelyek között az alábbi kapcsolatok legalább egyike fennáll:</w:t>
      </w:r>
    </w:p>
    <w:p w14:paraId="511B87E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a) az egyik vállalkozás rendelkezik a részvényesek vagy tagok szavazati jogának többségével egy másik vállalkozásban;</w:t>
      </w:r>
    </w:p>
    <w:p w14:paraId="28389217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b) az egyik vállalkozás jogosult kinevezni vagy elmozdítani egy másik vállalkozás igazgatási, irányító vagy felügyelő testülete tagjainak többségét;</w:t>
      </w:r>
    </w:p>
    <w:p w14:paraId="1D493D8C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c) az egyik vállalkozás valamely másik vállalkozás felett meghatározó befolyást gyakorolhat az e vállalkozással kötött szerződés alapján vagy </w:t>
      </w:r>
      <w:proofErr w:type="gramStart"/>
      <w:r w:rsidRPr="005B5698">
        <w:rPr>
          <w:rFonts w:ascii="Arial" w:hAnsi="Arial" w:cs="Arial"/>
          <w:sz w:val="20"/>
          <w:szCs w:val="20"/>
        </w:rPr>
        <w:t>az alapító okiratában</w:t>
      </w:r>
      <w:proofErr w:type="gramEnd"/>
      <w:r w:rsidRPr="005B5698">
        <w:rPr>
          <w:rFonts w:ascii="Arial" w:hAnsi="Arial" w:cs="Arial"/>
          <w:sz w:val="20"/>
          <w:szCs w:val="20"/>
        </w:rPr>
        <w:t xml:space="preserve"> vagy alapszabályában meghatározott rendelkezés alapján;</w:t>
      </w:r>
    </w:p>
    <w:p w14:paraId="1DCAD863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color w:val="auto"/>
          <w:sz w:val="20"/>
          <w:szCs w:val="20"/>
        </w:rPr>
        <w:t>d) az egyik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14:paraId="13973B4A" w14:textId="19A52E94" w:rsidR="00007BE8" w:rsidRPr="00984614" w:rsidRDefault="00AE3A15" w:rsidP="00984614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5B5698">
        <w:rPr>
          <w:rFonts w:ascii="Arial" w:hAnsi="Arial" w:cs="Arial"/>
          <w:sz w:val="20"/>
          <w:szCs w:val="20"/>
        </w:rPr>
        <w:t xml:space="preserve">Az egy vagy több másik vállalkozáson keresztül az </w:t>
      </w:r>
      <w:proofErr w:type="gramStart"/>
      <w:r w:rsidRPr="005B5698">
        <w:rPr>
          <w:rFonts w:ascii="Arial" w:hAnsi="Arial" w:cs="Arial"/>
          <w:sz w:val="20"/>
          <w:szCs w:val="20"/>
        </w:rPr>
        <w:t>a)–</w:t>
      </w:r>
      <w:proofErr w:type="gramEnd"/>
      <w:r w:rsidRPr="005B5698">
        <w:rPr>
          <w:rFonts w:ascii="Arial" w:hAnsi="Arial" w:cs="Arial"/>
          <w:sz w:val="20"/>
          <w:szCs w:val="20"/>
        </w:rPr>
        <w:t>d) pontban említett kapcsolatok egyikével rendelkező vállalkozásokat is egy és ugyanazon vállalkozásnak kell tekinteni.</w:t>
      </w:r>
    </w:p>
    <w:sectPr w:rsidR="00007BE8" w:rsidRPr="00984614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C91B" w14:textId="346A860E" w:rsidR="00663428" w:rsidRPr="00A46C5D" w:rsidRDefault="00883B89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663428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7E13DECE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5B578869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4818FC7C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4D24971C" w:rsidR="00883B89" w:rsidRPr="00663428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1550FC81" w:rsidR="00883B89" w:rsidRDefault="00984614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60B440B0">
          <wp:simplePos x="0" y="0"/>
          <wp:positionH relativeFrom="margin">
            <wp:posOffset>2657380</wp:posOffset>
          </wp:positionH>
          <wp:positionV relativeFrom="paragraph">
            <wp:posOffset>-259300</wp:posOffset>
          </wp:positionV>
          <wp:extent cx="3394104" cy="887972"/>
          <wp:effectExtent l="0" t="0" r="0" b="762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9002" cy="894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6E633789" wp14:editId="44D5B9F7">
          <wp:simplePos x="0" y="0"/>
          <wp:positionH relativeFrom="page">
            <wp:align>left</wp:align>
          </wp:positionH>
          <wp:positionV relativeFrom="paragraph">
            <wp:posOffset>-450369</wp:posOffset>
          </wp:positionV>
          <wp:extent cx="3551555" cy="1062355"/>
          <wp:effectExtent l="0" t="0" r="0" b="4445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5931" cy="1066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0E165CE8" w:rsidR="00883B89" w:rsidRPr="00883B89" w:rsidRDefault="00883B89" w:rsidP="00984614">
    <w:pPr>
      <w:tabs>
        <w:tab w:val="left" w:pos="7092"/>
      </w:tabs>
      <w:jc w:val="left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9B7130F"/>
    <w:multiLevelType w:val="hybridMultilevel"/>
    <w:tmpl w:val="DA9AD8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2"/>
  </w:num>
  <w:num w:numId="6">
    <w:abstractNumId w:val="21"/>
  </w:num>
  <w:num w:numId="7">
    <w:abstractNumId w:val="23"/>
  </w:num>
  <w:num w:numId="8">
    <w:abstractNumId w:val="17"/>
  </w:num>
  <w:num w:numId="9">
    <w:abstractNumId w:val="9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0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E130D"/>
    <w:rsid w:val="00581ECA"/>
    <w:rsid w:val="00630880"/>
    <w:rsid w:val="00663428"/>
    <w:rsid w:val="006A7FAD"/>
    <w:rsid w:val="006C2C04"/>
    <w:rsid w:val="007A347F"/>
    <w:rsid w:val="007B3388"/>
    <w:rsid w:val="00842E4C"/>
    <w:rsid w:val="00883B89"/>
    <w:rsid w:val="00984614"/>
    <w:rsid w:val="00A72C7A"/>
    <w:rsid w:val="00AE3A15"/>
    <w:rsid w:val="00B32E43"/>
    <w:rsid w:val="00D10B0B"/>
    <w:rsid w:val="00D55A7F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paragraph" w:customStyle="1" w:styleId="Default">
    <w:name w:val="Default"/>
    <w:qFormat/>
    <w:rsid w:val="00AE3A15"/>
    <w:pPr>
      <w:suppressAutoHyphens/>
      <w:spacing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2025-07-23T13:27:00Z</dcterms:created>
  <dcterms:modified xsi:type="dcterms:W3CDTF">2025-09-26T07:34:00Z</dcterms:modified>
</cp:coreProperties>
</file>