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68EE2384" w14:textId="77777777" w:rsidR="00D42EB2" w:rsidRPr="00D42EB2" w:rsidRDefault="00D42EB2" w:rsidP="00D42EB2">
      <w:pPr>
        <w:jc w:val="center"/>
        <w:rPr>
          <w:rFonts w:ascii="Arial" w:hAnsi="Arial" w:cs="Arial"/>
          <w:b/>
          <w:sz w:val="20"/>
          <w:szCs w:val="20"/>
        </w:rPr>
      </w:pPr>
      <w:r w:rsidRPr="00D42EB2">
        <w:rPr>
          <w:rFonts w:ascii="Arial" w:hAnsi="Arial" w:cs="Arial"/>
          <w:b/>
          <w:sz w:val="20"/>
          <w:szCs w:val="20"/>
        </w:rPr>
        <w:t>TÁJÉKOZTATÓ</w:t>
      </w:r>
    </w:p>
    <w:p w14:paraId="2173AA9D" w14:textId="690EBE9E" w:rsidR="00D42EB2" w:rsidRPr="00D42EB2" w:rsidRDefault="00D42EB2" w:rsidP="00D42EB2">
      <w:pPr>
        <w:jc w:val="center"/>
        <w:rPr>
          <w:rFonts w:ascii="Arial" w:hAnsi="Arial" w:cs="Arial"/>
          <w:b/>
          <w:sz w:val="20"/>
          <w:szCs w:val="20"/>
        </w:rPr>
      </w:pPr>
      <w:r w:rsidRPr="00D42EB2">
        <w:rPr>
          <w:rFonts w:ascii="Arial" w:hAnsi="Arial" w:cs="Arial"/>
          <w:b/>
          <w:sz w:val="20"/>
          <w:szCs w:val="20"/>
        </w:rPr>
        <w:t>a köztulajdonban álló gazdasági társaságok takarékosabb működéséről szóló törvényben foglalt közzétételi kötelezettségről</w:t>
      </w:r>
    </w:p>
    <w:p w14:paraId="1651B067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A köztulajdonban álló gazdasági társaságok közzétételi kötelezettségéről a köztulajdonban álló gazdasági társaságok takarékosabb működéséről szóló 2009. évi CXXII. törvény rendelkezik.</w:t>
      </w:r>
    </w:p>
    <w:p w14:paraId="56E913DE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Köztulajdonban álló gazdasági társaság: az a gazdasági társaság, amelyben a Magyar Állam, helyi önkormányzat, a helyi önkormányzat jogi személyiséggel rendelkező társulása, többcélú kistérségi társulás, fejlesztési tanács, nemzetiségi önkormányzat, nemzetiségi önkormányzat jogi személyiségű társulása, költségvetési szerv vagy közalapítvány külön-külön vagy együttesen számítva többségi befolyással rendelkezik.</w:t>
      </w:r>
    </w:p>
    <w:p w14:paraId="46AC0B2F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Többségi befolyás: az olyan kapcsolat, amelynek révén a befolyással rendelkező egy jogi személyben a szavazatok több mint ötven százalékával – közvetlenül vagy a jogi személyben szavazati joggal rendelkező más jogi személy (köztes vállalkozás) szavazati jogán keresztül – rendelkezik azzal, hogy a közvetett módon való rendelkezés meghatározása során a jogi személyben szavazati joggal rendelkező más jogi személyt (köztes vállalkozást) megillető szavazati hányadot meg kell szorozni a befolyással rendelkezőnek a köztes vállalkozásban, illetve vállalkozásokban fennálló szavazati hányadával, ha azonban a köztes vállalkozásban fennálló szavazatainak hányada az ötven százalékot meghaladja, akkor azt egy egészként kell figyelembe venni. A befolyás számításánál nem kell figyelembe venni a huszonöt százalékot el nem érő közvetett befolyást.</w:t>
      </w:r>
    </w:p>
    <w:p w14:paraId="5135D441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A köztulajdonban álló gazdasági társaság a közzététel időpontjában fennálló adatok alapján közzéteszi a vezető tisztségviselők, a felügyelőbizottsági tagok, a munka törvénykönyvéről szóló 2012. évi I. törvény (a továbbiakban: Mt.) 208. §-a szerinti a vezető állású munkavállalók, valamint az önállóan cégjegyzésre vagy a bankszámla feletti rendelkezésre jogosult munkavállalók:</w:t>
      </w:r>
    </w:p>
    <w:p w14:paraId="191C94B6" w14:textId="26B01A36" w:rsidR="0075071B" w:rsidRP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nevét,</w:t>
      </w:r>
    </w:p>
    <w:p w14:paraId="7881CE73" w14:textId="29FC526D" w:rsidR="0075071B" w:rsidRP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tisztségét vagy munkakörét,</w:t>
      </w:r>
    </w:p>
    <w:p w14:paraId="15E6FC35" w14:textId="77777777" w:rsid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munkaviszonyban álló személy esetében:</w:t>
      </w:r>
    </w:p>
    <w:p w14:paraId="3EA86F02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75071B">
        <w:rPr>
          <w:rFonts w:ascii="Arial" w:hAnsi="Arial" w:cs="Arial"/>
          <w:sz w:val="20"/>
          <w:szCs w:val="20"/>
        </w:rPr>
        <w:t>ca</w:t>
      </w:r>
      <w:proofErr w:type="spellEnd"/>
      <w:r w:rsidRPr="0075071B">
        <w:rPr>
          <w:rFonts w:ascii="Arial" w:hAnsi="Arial" w:cs="Arial"/>
          <w:sz w:val="20"/>
          <w:szCs w:val="20"/>
        </w:rPr>
        <w:t>) a munkavállaló részére a munkaviszonya alapján közvetlenül vagy közvetve nyújtott pénzbeli juttatásokat, ezen belül külön feltüntetve alapbérét, egyéb időbérét, teljesítménybérét, valamint az időbért megalapozó időtartamot, illetve a teljesítménybért megalapozó teljesítménykövetelményeket,</w:t>
      </w:r>
    </w:p>
    <w:p w14:paraId="487E893C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75071B">
        <w:rPr>
          <w:rFonts w:ascii="Arial" w:hAnsi="Arial" w:cs="Arial"/>
          <w:sz w:val="20"/>
          <w:szCs w:val="20"/>
        </w:rPr>
        <w:t>cb</w:t>
      </w:r>
      <w:proofErr w:type="spellEnd"/>
      <w:r w:rsidRPr="0075071B">
        <w:rPr>
          <w:rFonts w:ascii="Arial" w:hAnsi="Arial" w:cs="Arial"/>
          <w:sz w:val="20"/>
          <w:szCs w:val="20"/>
        </w:rPr>
        <w:t>) az Mt., kollektív szerződés, illetve a munkaszerződés alapján járó mértéket megjelölve a munkavállalóra irányadó végkielégítés, illetve felmondási idő időtartamát,</w:t>
      </w:r>
    </w:p>
    <w:p w14:paraId="362BF3B5" w14:textId="3F7D6453" w:rsidR="0075071B" w:rsidRP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cc) az Mt. 228. § (1) és (2) bekezdése alapján kikötött időtartamot és a kötelezettség vállalásának ellenértékét,</w:t>
      </w:r>
    </w:p>
    <w:p w14:paraId="4F3138E0" w14:textId="23FB73DB" w:rsidR="0075071B" w:rsidRP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 xml:space="preserve">Ptk. megbízásra vonatkozó szabályait, </w:t>
      </w:r>
    </w:p>
    <w:p w14:paraId="4321E50A" w14:textId="77777777" w:rsidR="0075071B" w:rsidRDefault="0075071B" w:rsidP="0075071B">
      <w:pPr>
        <w:pStyle w:val="Listaszerbekezds"/>
        <w:numPr>
          <w:ilvl w:val="0"/>
          <w:numId w:val="25"/>
        </w:num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valamint a 2009/CXXII. tv. 2. § (1) d) pont: a gazdasági társaságokról szóló 2006. évi IV. törvény (a továbbiakban: Gt.) 22. § (2) bekezdés a) pontja szerinti jogviszony, valamint a felügyelőbizottsági tagok esetén:</w:t>
      </w:r>
    </w:p>
    <w:p w14:paraId="75E93A5A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da) a megbízási díjat,</w:t>
      </w:r>
    </w:p>
    <w:p w14:paraId="28E6FDB2" w14:textId="77777777" w:rsid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db) a megbízási díjon felüli egyéb járandóságokat,</w:t>
      </w:r>
    </w:p>
    <w:p w14:paraId="0CD08BCA" w14:textId="68D40594" w:rsidR="0075071B" w:rsidRPr="0075071B" w:rsidRDefault="0075071B" w:rsidP="0075071B">
      <w:pPr>
        <w:pStyle w:val="Listaszerbekezds"/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>dc) a jogviszony megszűnése esetén járó pénzbeli juttatásokat.</w:t>
      </w:r>
    </w:p>
    <w:p w14:paraId="09F56DBB" w14:textId="77777777" w:rsidR="003C341F" w:rsidRDefault="003C341F">
      <w:pPr>
        <w:spacing w:before="0" w:beforeAutospacing="0" w:after="200" w:afterAutospacing="0" w:line="276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78F765C" w14:textId="27CD4C50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lastRenderedPageBreak/>
        <w:t xml:space="preserve">A köztulajdonban álló gazdasági társaság a közzététel időpontjában fennálló adatok alapján a másokkal együttesen cégjegyzésre vagy a bankszámla feletti rendelkezésre jogosult munkavállalók, valamint a foglalkoztató működése szempontjából meghatározó jelentőségű egyéb munkavállalók esetében a </w:t>
      </w:r>
      <w:proofErr w:type="gramStart"/>
      <w:r w:rsidRPr="0075071B">
        <w:rPr>
          <w:rFonts w:ascii="Arial" w:hAnsi="Arial" w:cs="Arial"/>
          <w:sz w:val="20"/>
          <w:szCs w:val="20"/>
        </w:rPr>
        <w:t>b)-</w:t>
      </w:r>
      <w:proofErr w:type="gramEnd"/>
      <w:r w:rsidRPr="0075071B">
        <w:rPr>
          <w:rFonts w:ascii="Arial" w:hAnsi="Arial" w:cs="Arial"/>
          <w:sz w:val="20"/>
          <w:szCs w:val="20"/>
        </w:rPr>
        <w:t>c) pontjában meghatározott adatokat teszi közzé.</w:t>
      </w:r>
    </w:p>
    <w:p w14:paraId="15BC872F" w14:textId="77777777" w:rsidR="0075071B" w:rsidRPr="0075071B" w:rsidRDefault="0075071B" w:rsidP="0075071B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75071B">
        <w:rPr>
          <w:rFonts w:ascii="Arial" w:hAnsi="Arial" w:cs="Arial"/>
          <w:sz w:val="20"/>
          <w:szCs w:val="20"/>
        </w:rPr>
        <w:t xml:space="preserve">Az információs önrendelkezési jogról és az információszabadságról szóló 2011. évi CXII. törvény szerint az adatokat </w:t>
      </w:r>
      <w:r w:rsidRPr="0075071B">
        <w:rPr>
          <w:rFonts w:ascii="Arial" w:hAnsi="Arial" w:cs="Arial"/>
          <w:b/>
          <w:bCs/>
          <w:i/>
          <w:iCs/>
          <w:sz w:val="20"/>
          <w:szCs w:val="20"/>
        </w:rPr>
        <w:t>internetes honlapon</w:t>
      </w:r>
      <w:r w:rsidRPr="0075071B">
        <w:rPr>
          <w:rFonts w:ascii="Arial" w:hAnsi="Arial" w:cs="Arial"/>
          <w:sz w:val="20"/>
          <w:szCs w:val="20"/>
        </w:rPr>
        <w:t>, digitális formában, bárki számára, személyazonosítás nélkül, korlátozástól mentesen, kinyomtatható és részleteiben is adatvesztés és – torzulás nélkül kimásolható módon, a betekintés, a letöltés, a nyomtatás, a kimásolás és a hálózati adatátvitel szempontjából is díjmentesen kell hozzáférhetővé tenni.</w:t>
      </w:r>
    </w:p>
    <w:p w14:paraId="13973B4A" w14:textId="4D706E73" w:rsidR="00007BE8" w:rsidRPr="00D42EB2" w:rsidRDefault="00FC104F" w:rsidP="00A72C7A">
      <w:pPr>
        <w:autoSpaceDE w:val="0"/>
        <w:autoSpaceDN w:val="0"/>
        <w:spacing w:after="0"/>
        <w:rPr>
          <w:rFonts w:ascii="Arial" w:hAnsi="Arial" w:cs="Arial"/>
          <w:sz w:val="20"/>
          <w:szCs w:val="20"/>
        </w:rPr>
      </w:pPr>
      <w:r w:rsidRPr="00D42EB2">
        <w:rPr>
          <w:rFonts w:ascii="Arial" w:hAnsi="Arial" w:cs="Arial"/>
          <w:sz w:val="20"/>
          <w:szCs w:val="20"/>
        </w:rPr>
        <w:tab/>
      </w:r>
    </w:p>
    <w:sectPr w:rsidR="00007BE8" w:rsidRPr="00D42EB2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AA9A" w14:textId="185E21D3" w:rsidR="003C341F" w:rsidRPr="00A46C5D" w:rsidRDefault="00883B89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</w:t>
    </w:r>
    <w:r w:rsidR="003C341F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1C0AA273" w14:textId="77777777" w:rsidR="003C341F" w:rsidRPr="00A46C5D" w:rsidRDefault="003C341F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5F06DAB6" w14:textId="77777777" w:rsidR="003C341F" w:rsidRPr="00A46C5D" w:rsidRDefault="003C341F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25015627" w14:textId="77777777" w:rsidR="003C341F" w:rsidRPr="00A46C5D" w:rsidRDefault="003C341F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67D0EE40" w:rsidR="00883B89" w:rsidRPr="003C341F" w:rsidRDefault="003C341F" w:rsidP="003C341F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019AB98F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95618"/>
    <w:multiLevelType w:val="hybridMultilevel"/>
    <w:tmpl w:val="B8E476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3"/>
  </w:num>
  <w:num w:numId="4">
    <w:abstractNumId w:val="6"/>
  </w:num>
  <w:num w:numId="5">
    <w:abstractNumId w:val="11"/>
  </w:num>
  <w:num w:numId="6">
    <w:abstractNumId w:val="21"/>
  </w:num>
  <w:num w:numId="7">
    <w:abstractNumId w:val="23"/>
  </w:num>
  <w:num w:numId="8">
    <w:abstractNumId w:val="17"/>
  </w:num>
  <w:num w:numId="9">
    <w:abstractNumId w:val="8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9"/>
  </w:num>
  <w:num w:numId="15">
    <w:abstractNumId w:val="4"/>
  </w:num>
  <w:num w:numId="16">
    <w:abstractNumId w:val="18"/>
  </w:num>
  <w:num w:numId="17">
    <w:abstractNumId w:val="0"/>
  </w:num>
  <w:num w:numId="18">
    <w:abstractNumId w:val="1"/>
  </w:num>
  <w:num w:numId="19">
    <w:abstractNumId w:val="15"/>
  </w:num>
  <w:num w:numId="20">
    <w:abstractNumId w:val="24"/>
  </w:num>
  <w:num w:numId="21">
    <w:abstractNumId w:val="14"/>
  </w:num>
  <w:num w:numId="22">
    <w:abstractNumId w:val="20"/>
  </w:num>
  <w:num w:numId="23">
    <w:abstractNumId w:val="22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1C5A35"/>
    <w:rsid w:val="002E67BD"/>
    <w:rsid w:val="003C341F"/>
    <w:rsid w:val="003E130D"/>
    <w:rsid w:val="00630880"/>
    <w:rsid w:val="006A7FAD"/>
    <w:rsid w:val="006C2C04"/>
    <w:rsid w:val="0075071B"/>
    <w:rsid w:val="007A347F"/>
    <w:rsid w:val="007B3388"/>
    <w:rsid w:val="00842E4C"/>
    <w:rsid w:val="008514EC"/>
    <w:rsid w:val="00883B89"/>
    <w:rsid w:val="00A72C7A"/>
    <w:rsid w:val="00D10B0B"/>
    <w:rsid w:val="00D42EB2"/>
    <w:rsid w:val="00D6788F"/>
    <w:rsid w:val="00D9193F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2025-07-23T10:24:00Z</dcterms:created>
  <dcterms:modified xsi:type="dcterms:W3CDTF">2025-07-23T10:24:00Z</dcterms:modified>
</cp:coreProperties>
</file>