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956508" w:rsidRPr="002429CE" w:rsidTr="00C77E0F">
        <w:trPr>
          <w:trHeight w:val="194"/>
          <w:jc w:val="center"/>
        </w:trPr>
        <w:tc>
          <w:tcPr>
            <w:tcW w:w="9288" w:type="dxa"/>
            <w:gridSpan w:val="2"/>
          </w:tcPr>
          <w:p w:rsidR="00956508" w:rsidRPr="002429CE" w:rsidRDefault="00956508" w:rsidP="007A63AE">
            <w:pPr>
              <w:tabs>
                <w:tab w:val="center" w:pos="4536"/>
                <w:tab w:val="right" w:pos="9072"/>
              </w:tabs>
              <w:spacing w:before="120" w:after="120" w:line="300" w:lineRule="exact"/>
              <w:jc w:val="center"/>
              <w:rPr>
                <w:rFonts w:ascii="Book Antiqua" w:hAnsi="Book Antiqua"/>
                <w:b/>
                <w:color w:val="0070C0"/>
                <w:sz w:val="22"/>
              </w:rPr>
            </w:pPr>
            <w:r w:rsidRPr="002429CE">
              <w:rPr>
                <w:rFonts w:ascii="Book Antiqua" w:hAnsi="Book Antiqua"/>
                <w:b/>
                <w:color w:val="0070C0"/>
                <w:sz w:val="22"/>
                <w:lang w:eastAsia="hu-HU"/>
              </w:rPr>
              <w:br w:type="page"/>
            </w:r>
            <w:r w:rsidRPr="002429CE">
              <w:rPr>
                <w:rFonts w:ascii="Book Antiqua" w:hAnsi="Book Antiqua"/>
                <w:b/>
                <w:color w:val="0070C0"/>
                <w:sz w:val="22"/>
              </w:rPr>
              <w:t>előzetes vizsgálat</w:t>
            </w:r>
          </w:p>
        </w:tc>
      </w:tr>
      <w:tr w:rsidR="005D1793" w:rsidRPr="00EE343F" w:rsidTr="003910FA">
        <w:trPr>
          <w:jc w:val="center"/>
        </w:trPr>
        <w:tc>
          <w:tcPr>
            <w:tcW w:w="3472" w:type="dxa"/>
          </w:tcPr>
          <w:p w:rsidR="005D1793" w:rsidRPr="00EE343F" w:rsidRDefault="005D1793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</w:tcPr>
          <w:p w:rsidR="005D1793" w:rsidRDefault="00C9290E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E16401" w:rsidRDefault="00E16401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E16401" w:rsidRPr="00EE343F" w:rsidRDefault="00E16401" w:rsidP="00D82131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="00FE0946"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="00FE0946" w:rsidRPr="00FE0946">
              <w:rPr>
                <w:rFonts w:ascii="Book Antiqua" w:hAnsi="Book Antiqua"/>
                <w:sz w:val="22"/>
              </w:rPr>
              <w:t>e</w:t>
            </w:r>
            <w:r w:rsidR="00FE0946"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 w:rsidR="00D82131"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5D1793" w:rsidRPr="00EE343F" w:rsidTr="003910FA">
        <w:trPr>
          <w:jc w:val="center"/>
        </w:trPr>
        <w:tc>
          <w:tcPr>
            <w:tcW w:w="3472" w:type="dxa"/>
          </w:tcPr>
          <w:p w:rsidR="005D1793" w:rsidRPr="00EE343F" w:rsidRDefault="005D1793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Ügyintézéshez szükséges d</w:t>
            </w:r>
            <w:r w:rsidRPr="00EE343F">
              <w:rPr>
                <w:rFonts w:ascii="Book Antiqua" w:hAnsi="Book Antiqua"/>
                <w:b/>
                <w:sz w:val="22"/>
              </w:rPr>
              <w:t>o</w:t>
            </w:r>
            <w:r w:rsidRPr="00EE343F">
              <w:rPr>
                <w:rFonts w:ascii="Book Antiqua" w:hAnsi="Book Antiqua"/>
                <w:b/>
                <w:sz w:val="22"/>
              </w:rPr>
              <w:t>kumentumok, okmányok:</w:t>
            </w:r>
          </w:p>
        </w:tc>
        <w:tc>
          <w:tcPr>
            <w:tcW w:w="5816" w:type="dxa"/>
          </w:tcPr>
          <w:p w:rsidR="005D1793" w:rsidRPr="00EE343F" w:rsidRDefault="00FE0946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környezeti hatásvizsgálati és az egységes környeze</w:t>
            </w:r>
            <w:r>
              <w:rPr>
                <w:rFonts w:ascii="Book Antiqua" w:hAnsi="Book Antiqua"/>
                <w:sz w:val="22"/>
              </w:rPr>
              <w:t>t</w:t>
            </w:r>
            <w:r>
              <w:rPr>
                <w:rFonts w:ascii="Book Antiqua" w:hAnsi="Book Antiqua"/>
                <w:sz w:val="22"/>
              </w:rPr>
              <w:t>használati engedélyezési eljárásról szóló 314/2005. (XII. 25.) Korm. rendelet 4. sz. melléklete szerint</w:t>
            </w:r>
          </w:p>
        </w:tc>
      </w:tr>
      <w:tr w:rsidR="005D1793" w:rsidRPr="00EE343F" w:rsidTr="003910FA">
        <w:trPr>
          <w:jc w:val="center"/>
        </w:trPr>
        <w:tc>
          <w:tcPr>
            <w:tcW w:w="3472" w:type="dxa"/>
          </w:tcPr>
          <w:p w:rsidR="005D1793" w:rsidRPr="00EE343F" w:rsidRDefault="001E22AC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Igazgatási szolgáltatási díj </w:t>
            </w:r>
            <w:r w:rsidR="005D1793" w:rsidRPr="00EE343F">
              <w:rPr>
                <w:rFonts w:ascii="Book Antiqua" w:hAnsi="Book Antiqua"/>
                <w:b/>
                <w:sz w:val="22"/>
              </w:rPr>
              <w:t>meghatározása:</w:t>
            </w:r>
          </w:p>
        </w:tc>
        <w:tc>
          <w:tcPr>
            <w:tcW w:w="5816" w:type="dxa"/>
          </w:tcPr>
          <w:p w:rsidR="005D1793" w:rsidRPr="00EE343F" w:rsidRDefault="00FE0946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250 000,- Ft - a környezetvédelmi és természetvédelmi hatósági eljárások igazgatási szolgáltatási díjairól szóló 14/2015. (III. 31.) FM rendelet rendelkezése alapján</w:t>
            </w:r>
          </w:p>
        </w:tc>
      </w:tr>
      <w:tr w:rsidR="005D1793" w:rsidRPr="00EE343F" w:rsidTr="003910FA">
        <w:trPr>
          <w:jc w:val="center"/>
        </w:trPr>
        <w:tc>
          <w:tcPr>
            <w:tcW w:w="3472" w:type="dxa"/>
          </w:tcPr>
          <w:p w:rsidR="005D1793" w:rsidRPr="00EE343F" w:rsidRDefault="005D1793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</w:tcPr>
          <w:p w:rsidR="00FE0946" w:rsidRDefault="00FE0946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5D1793" w:rsidRDefault="00FE0946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környezeti hatásvizsgálati és az egységes környeze</w:t>
            </w:r>
            <w:r>
              <w:rPr>
                <w:rFonts w:ascii="Book Antiqua" w:hAnsi="Book Antiqua"/>
                <w:sz w:val="22"/>
              </w:rPr>
              <w:t>t</w:t>
            </w:r>
            <w:r>
              <w:rPr>
                <w:rFonts w:ascii="Book Antiqua" w:hAnsi="Book Antiqua"/>
                <w:sz w:val="22"/>
              </w:rPr>
              <w:t>használati engedélyezési e</w:t>
            </w:r>
            <w:r w:rsidR="00C9767B">
              <w:rPr>
                <w:rFonts w:ascii="Book Antiqua" w:hAnsi="Book Antiqua"/>
                <w:sz w:val="22"/>
              </w:rPr>
              <w:t>ljárásról szóló 314/2005. (XII.</w:t>
            </w:r>
            <w:r>
              <w:rPr>
                <w:rFonts w:ascii="Book Antiqua" w:hAnsi="Book Antiqua"/>
                <w:sz w:val="22"/>
              </w:rPr>
              <w:t>25.) Korm. rendelet</w:t>
            </w:r>
            <w:r w:rsidR="003060B6">
              <w:rPr>
                <w:rFonts w:ascii="Book Antiqua" w:hAnsi="Book Antiqua"/>
                <w:sz w:val="22"/>
              </w:rPr>
              <w:t>,</w:t>
            </w:r>
          </w:p>
          <w:p w:rsidR="003060B6" w:rsidRDefault="003060B6" w:rsidP="003060B6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általános közigazgatási rendtartásról szóló 2016. évi CL. törvény</w:t>
            </w:r>
            <w:r w:rsidR="008D0D97">
              <w:rPr>
                <w:rFonts w:ascii="Book Antiqua" w:hAnsi="Book Antiqua"/>
                <w:sz w:val="22"/>
              </w:rPr>
              <w:t>,</w:t>
            </w:r>
          </w:p>
          <w:p w:rsidR="008D0D97" w:rsidRPr="00EE343F" w:rsidRDefault="008D0D97" w:rsidP="00C9767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egyes közérdeken alapuló kényszerítő indok alapján eljáró szakhatóságok kijelöléséről szóló 531/2017. (XII.29.) Korm. rendelet</w:t>
            </w:r>
          </w:p>
        </w:tc>
      </w:tr>
      <w:tr w:rsidR="005D1793" w:rsidRPr="00EE343F" w:rsidTr="003910FA">
        <w:trPr>
          <w:jc w:val="center"/>
        </w:trPr>
        <w:tc>
          <w:tcPr>
            <w:tcW w:w="3472" w:type="dxa"/>
          </w:tcPr>
          <w:p w:rsidR="003910FA" w:rsidRDefault="003910FA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5D1793" w:rsidRPr="00EE343F" w:rsidRDefault="005D1793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benyújtásának módja (helye, ideje):</w:t>
            </w:r>
          </w:p>
        </w:tc>
        <w:tc>
          <w:tcPr>
            <w:tcW w:w="5816" w:type="dxa"/>
          </w:tcPr>
          <w:p w:rsidR="005D1793" w:rsidRPr="00EE343F" w:rsidRDefault="00C031FE" w:rsidP="0074088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031FE">
              <w:rPr>
                <w:rFonts w:ascii="Book Antiqua" w:hAnsi="Book Antiqua"/>
                <w:sz w:val="22"/>
              </w:rPr>
              <w:t>A kérelmet és mellékleteit elektronikus úton kell benyú</w:t>
            </w:r>
            <w:r w:rsidRPr="00C031FE">
              <w:rPr>
                <w:rFonts w:ascii="Book Antiqua" w:hAnsi="Book Antiqua"/>
                <w:sz w:val="22"/>
              </w:rPr>
              <w:t>j</w:t>
            </w:r>
            <w:r>
              <w:rPr>
                <w:rFonts w:ascii="Book Antiqua" w:hAnsi="Book Antiqua"/>
                <w:sz w:val="22"/>
              </w:rPr>
              <w:t>tani</w:t>
            </w:r>
            <w:r w:rsidRPr="00C031FE">
              <w:rPr>
                <w:rFonts w:ascii="Book Antiqua" w:hAnsi="Book Antiqua"/>
                <w:sz w:val="22"/>
              </w:rPr>
              <w:t>.</w:t>
            </w:r>
          </w:p>
        </w:tc>
      </w:tr>
      <w:tr w:rsidR="005D1793" w:rsidRPr="00EE343F" w:rsidTr="003910FA">
        <w:trPr>
          <w:jc w:val="center"/>
        </w:trPr>
        <w:tc>
          <w:tcPr>
            <w:tcW w:w="3472" w:type="dxa"/>
          </w:tcPr>
          <w:p w:rsidR="005D1793" w:rsidRPr="00EE343F" w:rsidRDefault="005D1793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 w:rsidR="000D16C5"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</w:tcPr>
          <w:p w:rsidR="005D1793" w:rsidRDefault="00AE7F0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proofErr w:type="spellStart"/>
            <w:r w:rsidRPr="00AE7F08">
              <w:rPr>
                <w:rFonts w:ascii="Book Antiqua" w:hAnsi="Book Antiqua"/>
                <w:sz w:val="22"/>
              </w:rPr>
              <w:t>Zöld-Pont</w:t>
            </w:r>
            <w:proofErr w:type="spellEnd"/>
            <w:r w:rsidRPr="00AE7F08">
              <w:rPr>
                <w:rFonts w:ascii="Book Antiqua" w:hAnsi="Book Antiqua"/>
                <w:sz w:val="22"/>
              </w:rPr>
              <w:t xml:space="preserve"> Iroda: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Pr="00AE7F08">
              <w:rPr>
                <w:rFonts w:ascii="Book Antiqua" w:hAnsi="Book Antiqua"/>
                <w:sz w:val="22"/>
              </w:rPr>
              <w:tab/>
            </w:r>
            <w:r w:rsidR="00C9290E">
              <w:rPr>
                <w:rFonts w:ascii="Book Antiqua" w:hAnsi="Book Antiqua"/>
                <w:sz w:val="22"/>
              </w:rPr>
              <w:t>5000 Szolnok, Ady E. út 35-37. ügyféltér</w:t>
            </w:r>
            <w:r w:rsidRPr="00AE7F08">
              <w:rPr>
                <w:rFonts w:ascii="Book Antiqua" w:hAnsi="Book Antiqua"/>
                <w:sz w:val="22"/>
              </w:rPr>
              <w:t xml:space="preserve"> emelet 24-es számú iroda helyiség</w:t>
            </w:r>
          </w:p>
          <w:p w:rsidR="00AE7F08" w:rsidRDefault="00AE7F0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AE7F08">
              <w:rPr>
                <w:rFonts w:ascii="Book Antiqua" w:hAnsi="Book Antiqua"/>
                <w:sz w:val="22"/>
              </w:rPr>
              <w:t xml:space="preserve">hétfő: </w:t>
            </w:r>
            <w:r>
              <w:rPr>
                <w:rFonts w:ascii="Book Antiqua" w:hAnsi="Book Antiqua"/>
                <w:sz w:val="22"/>
              </w:rPr>
              <w:t>8:00-17:00, szerda: 8:00-16:00,</w:t>
            </w:r>
          </w:p>
          <w:p w:rsidR="00AE7F08" w:rsidRPr="00EE343F" w:rsidRDefault="00AE7F0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AE7F08">
              <w:rPr>
                <w:rFonts w:ascii="Book Antiqua" w:hAnsi="Book Antiqua"/>
                <w:sz w:val="22"/>
              </w:rPr>
              <w:t>csütörtök: 13:00-16:00, péntek: 8:00-12:00</w:t>
            </w:r>
          </w:p>
        </w:tc>
      </w:tr>
      <w:tr w:rsidR="005D1793" w:rsidRPr="00EE343F" w:rsidTr="003910FA">
        <w:trPr>
          <w:jc w:val="center"/>
        </w:trPr>
        <w:tc>
          <w:tcPr>
            <w:tcW w:w="3472" w:type="dxa"/>
          </w:tcPr>
          <w:p w:rsidR="005D1793" w:rsidRPr="00EE343F" w:rsidRDefault="005D1793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 határideje</w:t>
            </w:r>
            <w:r w:rsidR="00331491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</w:tcPr>
          <w:p w:rsidR="00B903F8" w:rsidRPr="00EE343F" w:rsidRDefault="00B903F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4D3D7A">
              <w:rPr>
                <w:rFonts w:ascii="Book Antiqua" w:hAnsi="Book Antiqua"/>
                <w:i/>
                <w:sz w:val="22"/>
              </w:rPr>
              <w:t>elintézési határidő</w:t>
            </w:r>
            <w:r>
              <w:rPr>
                <w:rFonts w:ascii="Book Antiqua" w:hAnsi="Book Antiqua"/>
                <w:sz w:val="22"/>
              </w:rPr>
              <w:t>:</w:t>
            </w:r>
            <w:r w:rsidRPr="00B903F8">
              <w:rPr>
                <w:rFonts w:ascii="Book Antiqua" w:hAnsi="Book Antiqua"/>
                <w:sz w:val="22"/>
              </w:rPr>
              <w:t xml:space="preserve"> </w:t>
            </w:r>
            <w:r w:rsidR="00AE7F08">
              <w:rPr>
                <w:rFonts w:ascii="Book Antiqua" w:hAnsi="Book Antiqua"/>
                <w:sz w:val="22"/>
              </w:rPr>
              <w:t>45 nap (amennyiben közmeghallgatásra van szükség 60 nap)</w:t>
            </w:r>
          </w:p>
        </w:tc>
      </w:tr>
      <w:tr w:rsidR="005D1793" w:rsidRPr="00EE343F" w:rsidTr="00C65F52">
        <w:trPr>
          <w:cantSplit/>
          <w:jc w:val="center"/>
        </w:trPr>
        <w:tc>
          <w:tcPr>
            <w:tcW w:w="3472" w:type="dxa"/>
          </w:tcPr>
          <w:p w:rsidR="005D1793" w:rsidRPr="00EE343F" w:rsidRDefault="005D1793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</w:tcPr>
          <w:p w:rsidR="005D1793" w:rsidRPr="00D82131" w:rsidRDefault="003D234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="00D82131"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5D1793" w:rsidRPr="00EE343F" w:rsidTr="003910FA">
        <w:trPr>
          <w:cantSplit/>
          <w:jc w:val="center"/>
        </w:trPr>
        <w:tc>
          <w:tcPr>
            <w:tcW w:w="3472" w:type="dxa"/>
          </w:tcPr>
          <w:p w:rsidR="00316198" w:rsidRDefault="00316198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ügyintézéshez használt</w:t>
            </w:r>
          </w:p>
          <w:p w:rsidR="005D1793" w:rsidRPr="00EE343F" w:rsidRDefault="005D1793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816" w:type="dxa"/>
          </w:tcPr>
          <w:p w:rsidR="005D1793" w:rsidRPr="00EE343F" w:rsidRDefault="0095650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D82131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5D1793" w:rsidRPr="00EE343F" w:rsidTr="003910FA">
        <w:trPr>
          <w:jc w:val="center"/>
        </w:trPr>
        <w:tc>
          <w:tcPr>
            <w:tcW w:w="3472" w:type="dxa"/>
          </w:tcPr>
          <w:p w:rsidR="005D1793" w:rsidRPr="00EE343F" w:rsidRDefault="005D1793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</w:tcPr>
          <w:p w:rsidR="00473995" w:rsidRDefault="0047399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AC2A35" w:rsidRDefault="00AC2A3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5D1793" w:rsidRDefault="00AC2A3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környezeti hatásvizsgálati és az egységes környeze</w:t>
            </w:r>
            <w:r>
              <w:rPr>
                <w:rFonts w:ascii="Book Antiqua" w:hAnsi="Book Antiqua"/>
                <w:sz w:val="22"/>
              </w:rPr>
              <w:t>t</w:t>
            </w:r>
            <w:r>
              <w:rPr>
                <w:rFonts w:ascii="Book Antiqua" w:hAnsi="Book Antiqua"/>
                <w:sz w:val="22"/>
              </w:rPr>
              <w:t>használati engedélyezési eljárásról szóló 314/2005. (XII. 25.) Korm. rendelet,</w:t>
            </w:r>
          </w:p>
          <w:p w:rsidR="00AC2A35" w:rsidRPr="00EE343F" w:rsidRDefault="00AC2A3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összes környezetvédelmi és természetvédelmi jogsz</w:t>
            </w:r>
            <w:r>
              <w:rPr>
                <w:rFonts w:ascii="Book Antiqua" w:hAnsi="Book Antiqua"/>
                <w:sz w:val="22"/>
              </w:rPr>
              <w:t>a</w:t>
            </w:r>
            <w:r>
              <w:rPr>
                <w:rFonts w:ascii="Book Antiqua" w:hAnsi="Book Antiqua"/>
                <w:sz w:val="22"/>
              </w:rPr>
              <w:lastRenderedPageBreak/>
              <w:t>bály</w:t>
            </w:r>
          </w:p>
        </w:tc>
      </w:tr>
      <w:tr w:rsidR="005D1793" w:rsidRPr="00EE343F" w:rsidTr="003910FA">
        <w:trPr>
          <w:jc w:val="center"/>
        </w:trPr>
        <w:tc>
          <w:tcPr>
            <w:tcW w:w="3472" w:type="dxa"/>
          </w:tcPr>
          <w:p w:rsidR="005D1793" w:rsidRPr="00EE343F" w:rsidRDefault="005D1793" w:rsidP="003910FA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lastRenderedPageBreak/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</w:tcPr>
          <w:p w:rsidR="006A0926" w:rsidRPr="007D340B" w:rsidRDefault="006A0926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EF0F60" w:rsidRDefault="0035560C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Iratbetekintési</w:t>
            </w:r>
            <w:proofErr w:type="spellEnd"/>
            <w:r w:rsidR="00EF0F60">
              <w:rPr>
                <w:rFonts w:ascii="Book Antiqua" w:hAnsi="Book Antiqua" w:cs="Arial"/>
                <w:sz w:val="22"/>
                <w:szCs w:val="22"/>
              </w:rPr>
              <w:t xml:space="preserve"> jog.</w:t>
            </w:r>
          </w:p>
          <w:p w:rsidR="006A0926" w:rsidRPr="00A47C3C" w:rsidRDefault="006A0926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6A0926" w:rsidRDefault="006A0926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</w:t>
            </w:r>
            <w:r w:rsidR="002C7AC8">
              <w:rPr>
                <w:rFonts w:ascii="Book Antiqua" w:hAnsi="Book Antiqua" w:cs="Arial"/>
                <w:sz w:val="22"/>
                <w:szCs w:val="22"/>
              </w:rPr>
              <w:t>.</w:t>
            </w:r>
          </w:p>
          <w:p w:rsidR="006A0926" w:rsidRPr="00F6197C" w:rsidRDefault="006A0926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6A0926" w:rsidRPr="00F6197C" w:rsidRDefault="006A0926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5D1793" w:rsidRPr="00EF0F60" w:rsidRDefault="006A0926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5D1793" w:rsidRDefault="005D1793" w:rsidP="00D7151B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F31AA4" w:rsidRPr="005C1257" w:rsidRDefault="0079395B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sz w:val="22"/>
        </w:rPr>
        <w:br w:type="page"/>
      </w:r>
      <w:r w:rsidR="00F31AA4" w:rsidRPr="005C1257">
        <w:rPr>
          <w:rFonts w:ascii="Book Antiqua" w:hAnsi="Book Antiqua"/>
          <w:bCs/>
          <w:sz w:val="22"/>
        </w:rPr>
        <w:lastRenderedPageBreak/>
        <w:t>A környezethasználó előzetes vizsgálat iránti kérelmet köteles benyújtani, ha olyan tev</w:t>
      </w:r>
      <w:r w:rsidR="00F31AA4" w:rsidRPr="005C1257">
        <w:rPr>
          <w:rFonts w:ascii="Book Antiqua" w:hAnsi="Book Antiqua"/>
          <w:bCs/>
          <w:sz w:val="22"/>
        </w:rPr>
        <w:t>é</w:t>
      </w:r>
      <w:r w:rsidR="00F31AA4" w:rsidRPr="005C1257">
        <w:rPr>
          <w:rFonts w:ascii="Book Antiqua" w:hAnsi="Book Antiqua"/>
          <w:bCs/>
          <w:sz w:val="22"/>
        </w:rPr>
        <w:t>kenység megvalósítását tervezi, amely a környezeti hatásvizsgálati és az egységes körny</w:t>
      </w:r>
      <w:r w:rsidR="00F31AA4" w:rsidRPr="005C1257">
        <w:rPr>
          <w:rFonts w:ascii="Book Antiqua" w:hAnsi="Book Antiqua"/>
          <w:bCs/>
          <w:sz w:val="22"/>
        </w:rPr>
        <w:t>e</w:t>
      </w:r>
      <w:r w:rsidR="00F31AA4" w:rsidRPr="005C1257">
        <w:rPr>
          <w:rFonts w:ascii="Book Antiqua" w:hAnsi="Book Antiqua"/>
          <w:bCs/>
          <w:sz w:val="22"/>
        </w:rPr>
        <w:t xml:space="preserve">zethasználati engedélyezési eljárásról szóló 314/2005. (XII. 25.) Korm. rendelet </w:t>
      </w:r>
    </w:p>
    <w:p w:rsidR="00F31AA4" w:rsidRPr="005C1257" w:rsidRDefault="00F31AA4" w:rsidP="00F31AA4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proofErr w:type="gramStart"/>
      <w:r w:rsidRPr="005C1257">
        <w:rPr>
          <w:rFonts w:ascii="Book Antiqua" w:hAnsi="Book Antiqua"/>
          <w:bCs/>
          <w:sz w:val="22"/>
        </w:rPr>
        <w:t>a</w:t>
      </w:r>
      <w:proofErr w:type="gramEnd"/>
      <w:r w:rsidRPr="005C1257">
        <w:rPr>
          <w:rFonts w:ascii="Book Antiqua" w:hAnsi="Book Antiqua"/>
          <w:bCs/>
          <w:sz w:val="22"/>
        </w:rPr>
        <w:t>)</w:t>
      </w:r>
      <w:r w:rsidRPr="005C1257">
        <w:rPr>
          <w:rFonts w:ascii="Book Antiqua" w:hAnsi="Book Antiqua"/>
          <w:bCs/>
          <w:sz w:val="22"/>
        </w:rPr>
        <w:tab/>
        <w:t>a 3. számú melléklet</w:t>
      </w:r>
      <w:r>
        <w:rPr>
          <w:rFonts w:ascii="Book Antiqua" w:hAnsi="Book Antiqua"/>
          <w:bCs/>
          <w:sz w:val="22"/>
        </w:rPr>
        <w:t>é</w:t>
      </w:r>
      <w:r w:rsidRPr="005C1257">
        <w:rPr>
          <w:rFonts w:ascii="Book Antiqua" w:hAnsi="Book Antiqua"/>
          <w:bCs/>
          <w:sz w:val="22"/>
        </w:rPr>
        <w:t>ben szerepel, vagy</w:t>
      </w:r>
    </w:p>
    <w:p w:rsidR="00F31AA4" w:rsidRPr="005C1257" w:rsidRDefault="00F31AA4" w:rsidP="00F31AA4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5C1257">
        <w:rPr>
          <w:rFonts w:ascii="Book Antiqua" w:hAnsi="Book Antiqua"/>
          <w:bCs/>
          <w:sz w:val="22"/>
        </w:rPr>
        <w:t>b)</w:t>
      </w:r>
      <w:r w:rsidRPr="005C1257">
        <w:rPr>
          <w:rFonts w:ascii="Book Antiqua" w:hAnsi="Book Antiqua"/>
          <w:bCs/>
          <w:sz w:val="22"/>
        </w:rPr>
        <w:tab/>
        <w:t>a 2. és 3. számú melléklet</w:t>
      </w:r>
      <w:r>
        <w:rPr>
          <w:rFonts w:ascii="Book Antiqua" w:hAnsi="Book Antiqua"/>
          <w:bCs/>
          <w:sz w:val="22"/>
        </w:rPr>
        <w:t>é</w:t>
      </w:r>
      <w:r w:rsidRPr="005C1257">
        <w:rPr>
          <w:rFonts w:ascii="Book Antiqua" w:hAnsi="Book Antiqua"/>
          <w:bCs/>
          <w:sz w:val="22"/>
        </w:rPr>
        <w:t>ben egyaránt szerepel,</w:t>
      </w:r>
    </w:p>
    <w:p w:rsidR="00F31AA4" w:rsidRPr="005C1257" w:rsidRDefault="00F31AA4" w:rsidP="00F31AA4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5C1257">
        <w:rPr>
          <w:rFonts w:ascii="Book Antiqua" w:hAnsi="Book Antiqua"/>
          <w:bCs/>
          <w:sz w:val="22"/>
        </w:rPr>
        <w:t>c)</w:t>
      </w:r>
      <w:r w:rsidRPr="005C1257">
        <w:rPr>
          <w:rFonts w:ascii="Book Antiqua" w:hAnsi="Book Antiqua"/>
          <w:bCs/>
          <w:sz w:val="22"/>
        </w:rPr>
        <w:tab/>
        <w:t>összetartozó tevékenységnek minősül és a 2/</w:t>
      </w:r>
      <w:proofErr w:type="gramStart"/>
      <w:r w:rsidRPr="005C1257">
        <w:rPr>
          <w:rFonts w:ascii="Book Antiqua" w:hAnsi="Book Antiqua"/>
          <w:bCs/>
          <w:sz w:val="22"/>
        </w:rPr>
        <w:t>A</w:t>
      </w:r>
      <w:proofErr w:type="gramEnd"/>
      <w:r w:rsidRPr="005C1257">
        <w:rPr>
          <w:rFonts w:ascii="Book Antiqua" w:hAnsi="Book Antiqua"/>
          <w:bCs/>
          <w:sz w:val="22"/>
        </w:rPr>
        <w:t>. §</w:t>
      </w:r>
      <w:proofErr w:type="spellStart"/>
      <w:r w:rsidRPr="005C1257">
        <w:rPr>
          <w:rFonts w:ascii="Book Antiqua" w:hAnsi="Book Antiqua"/>
          <w:bCs/>
          <w:sz w:val="22"/>
        </w:rPr>
        <w:t>-ban</w:t>
      </w:r>
      <w:proofErr w:type="spellEnd"/>
      <w:r w:rsidRPr="005C1257">
        <w:rPr>
          <w:rFonts w:ascii="Book Antiqua" w:hAnsi="Book Antiqua"/>
          <w:bCs/>
          <w:sz w:val="22"/>
        </w:rPr>
        <w:t xml:space="preserve"> meghatározott eljárás lefolytatására nem került sor.</w:t>
      </w:r>
    </w:p>
    <w:p w:rsidR="00F31AA4" w:rsidRPr="005C1257" w:rsidRDefault="00F31AA4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F31AA4" w:rsidRPr="005C1257" w:rsidRDefault="00F31AA4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5C1257">
        <w:rPr>
          <w:rFonts w:ascii="Book Antiqua" w:hAnsi="Book Antiqua"/>
          <w:bCs/>
          <w:sz w:val="22"/>
        </w:rPr>
        <w:t>A környezethasználó kérelmére a környezetvédelmi hatóság előzetes vizsgálati eljárás nélkül környezeti hatásvizsgálati eljárást folytat le, ha a környezethasználó olyan tevékenység me</w:t>
      </w:r>
      <w:r w:rsidRPr="005C1257">
        <w:rPr>
          <w:rFonts w:ascii="Book Antiqua" w:hAnsi="Book Antiqua"/>
          <w:bCs/>
          <w:sz w:val="22"/>
        </w:rPr>
        <w:t>g</w:t>
      </w:r>
      <w:r w:rsidRPr="005C1257">
        <w:rPr>
          <w:rFonts w:ascii="Book Antiqua" w:hAnsi="Book Antiqua"/>
          <w:bCs/>
          <w:sz w:val="22"/>
        </w:rPr>
        <w:t>valósítását tervezi, amely a 3. számú mellékletben szerepel.</w:t>
      </w:r>
    </w:p>
    <w:p w:rsidR="00F31AA4" w:rsidRDefault="00F31AA4" w:rsidP="0079395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79395B" w:rsidRPr="005C1257" w:rsidRDefault="0079395B" w:rsidP="0079395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C1257">
        <w:rPr>
          <w:rFonts w:ascii="Book Antiqua" w:hAnsi="Book Antiqua"/>
          <w:sz w:val="22"/>
        </w:rPr>
        <w:t>Az eljárás menete:</w:t>
      </w:r>
    </w:p>
    <w:p w:rsidR="0079395B" w:rsidRPr="005C1257" w:rsidRDefault="0079395B" w:rsidP="0079395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Közzététel, betekintési lehetőség biztosítása:</w:t>
      </w:r>
    </w:p>
    <w:p w:rsidR="0079395B" w:rsidRPr="005A282A" w:rsidRDefault="0079395B" w:rsidP="0079395B">
      <w:pPr>
        <w:pStyle w:val="Norml1"/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5C1257">
        <w:rPr>
          <w:rFonts w:ascii="Book Antiqua" w:hAnsi="Book Antiqua" w:cs="Arial"/>
          <w:sz w:val="22"/>
          <w:szCs w:val="22"/>
        </w:rPr>
        <w:t xml:space="preserve">Az eljárás során a </w:t>
      </w:r>
      <w:r>
        <w:rPr>
          <w:rFonts w:ascii="Book Antiqua" w:hAnsi="Book Antiqua" w:cs="Arial"/>
          <w:sz w:val="22"/>
          <w:szCs w:val="22"/>
        </w:rPr>
        <w:t>hatóság</w:t>
      </w:r>
      <w:r w:rsidRPr="005C1257">
        <w:rPr>
          <w:rFonts w:ascii="Book Antiqua" w:hAnsi="Book Antiqua" w:cs="Arial"/>
          <w:sz w:val="22"/>
          <w:szCs w:val="22"/>
        </w:rPr>
        <w:t xml:space="preserve"> az ügyben keletkezett iratokat az érintett nyilvánosság sz</w:t>
      </w:r>
      <w:r w:rsidRPr="005C1257">
        <w:rPr>
          <w:rFonts w:ascii="Book Antiqua" w:hAnsi="Book Antiqua" w:cs="Arial"/>
          <w:sz w:val="22"/>
          <w:szCs w:val="22"/>
        </w:rPr>
        <w:t>á</w:t>
      </w:r>
      <w:r w:rsidRPr="005C1257">
        <w:rPr>
          <w:rFonts w:ascii="Book Antiqua" w:hAnsi="Book Antiqua" w:cs="Arial"/>
          <w:sz w:val="22"/>
          <w:szCs w:val="22"/>
        </w:rPr>
        <w:t xml:space="preserve">mára hozzáférhetővé </w:t>
      </w:r>
      <w:r>
        <w:rPr>
          <w:rFonts w:ascii="Book Antiqua" w:hAnsi="Book Antiqua" w:cs="Arial"/>
          <w:sz w:val="22"/>
          <w:szCs w:val="22"/>
        </w:rPr>
        <w:t xml:space="preserve">teszi. A közzététel a hatóság </w:t>
      </w:r>
      <w:r w:rsidRPr="005A282A">
        <w:rPr>
          <w:rFonts w:ascii="Book Antiqua" w:hAnsi="Book Antiqua" w:cs="Arial"/>
          <w:sz w:val="22"/>
          <w:szCs w:val="22"/>
        </w:rPr>
        <w:t xml:space="preserve">honlapján, </w:t>
      </w:r>
      <w:r>
        <w:rPr>
          <w:rFonts w:ascii="Book Antiqua" w:hAnsi="Book Antiqua" w:cs="Arial"/>
          <w:sz w:val="22"/>
          <w:szCs w:val="22"/>
        </w:rPr>
        <w:t xml:space="preserve">a </w:t>
      </w:r>
      <w:proofErr w:type="spellStart"/>
      <w:r>
        <w:rPr>
          <w:rFonts w:ascii="Book Antiqua" w:hAnsi="Book Antiqua" w:cs="Arial"/>
          <w:sz w:val="22"/>
          <w:szCs w:val="22"/>
        </w:rPr>
        <w:t>magyarorszag.hu-n</w:t>
      </w:r>
      <w:proofErr w:type="spellEnd"/>
      <w:r>
        <w:rPr>
          <w:rFonts w:ascii="Book Antiqua" w:hAnsi="Book Antiqua" w:cs="Arial"/>
          <w:sz w:val="22"/>
          <w:szCs w:val="22"/>
        </w:rPr>
        <w:t xml:space="preserve">, </w:t>
      </w:r>
      <w:r w:rsidRPr="005A282A">
        <w:rPr>
          <w:rFonts w:ascii="Book Antiqua" w:hAnsi="Book Antiqua" w:cs="Arial"/>
          <w:sz w:val="22"/>
          <w:szCs w:val="22"/>
        </w:rPr>
        <w:t>v</w:t>
      </w:r>
      <w:r w:rsidRPr="005A282A">
        <w:rPr>
          <w:rFonts w:ascii="Book Antiqua" w:hAnsi="Book Antiqua" w:cs="Arial"/>
          <w:sz w:val="22"/>
          <w:szCs w:val="22"/>
        </w:rPr>
        <w:t>a</w:t>
      </w:r>
      <w:r w:rsidRPr="005A282A">
        <w:rPr>
          <w:rFonts w:ascii="Book Antiqua" w:hAnsi="Book Antiqua" w:cs="Arial"/>
          <w:sz w:val="22"/>
          <w:szCs w:val="22"/>
        </w:rPr>
        <w:t>lamint</w:t>
      </w:r>
      <w:r>
        <w:rPr>
          <w:rFonts w:ascii="Book Antiqua" w:hAnsi="Book Antiqua" w:cs="Arial"/>
          <w:sz w:val="22"/>
          <w:szCs w:val="22"/>
        </w:rPr>
        <w:t xml:space="preserve"> az </w:t>
      </w:r>
      <w:r w:rsidRPr="005A282A">
        <w:rPr>
          <w:rFonts w:ascii="Book Antiqua" w:hAnsi="Book Antiqua" w:cs="Arial"/>
          <w:sz w:val="22"/>
          <w:szCs w:val="22"/>
        </w:rPr>
        <w:t xml:space="preserve">érintett </w:t>
      </w:r>
      <w:r w:rsidRPr="008B5206">
        <w:rPr>
          <w:rFonts w:ascii="Book Antiqua" w:hAnsi="Book Antiqua" w:cs="Arial"/>
          <w:sz w:val="22"/>
          <w:szCs w:val="22"/>
        </w:rPr>
        <w:t>település</w:t>
      </w:r>
      <w:r>
        <w:rPr>
          <w:rFonts w:ascii="Book Antiqua" w:hAnsi="Book Antiqua" w:cs="Arial"/>
          <w:sz w:val="22"/>
          <w:szCs w:val="22"/>
        </w:rPr>
        <w:t>ek jegyzőinél biztosított</w:t>
      </w:r>
      <w:r w:rsidRPr="005A282A">
        <w:rPr>
          <w:rFonts w:ascii="Book Antiqua" w:hAnsi="Book Antiqua" w:cs="Arial"/>
          <w:sz w:val="22"/>
          <w:szCs w:val="22"/>
        </w:rPr>
        <w:t>.</w:t>
      </w:r>
    </w:p>
    <w:p w:rsidR="0079395B" w:rsidRPr="005C1257" w:rsidRDefault="0079395B" w:rsidP="0079395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Közmeghallgatás</w:t>
      </w:r>
      <w:r>
        <w:rPr>
          <w:rFonts w:ascii="Book Antiqua" w:hAnsi="Book Antiqua" w:cs="Arial"/>
          <w:sz w:val="22"/>
          <w:szCs w:val="22"/>
        </w:rPr>
        <w:t xml:space="preserve"> (szükség esetén)</w:t>
      </w:r>
    </w:p>
    <w:p w:rsidR="0079395B" w:rsidRPr="005C1257" w:rsidRDefault="00C9290E" w:rsidP="0079395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</w:t>
      </w:r>
      <w:r w:rsidR="0079395B">
        <w:rPr>
          <w:rFonts w:ascii="Book Antiqua" w:hAnsi="Book Antiqua" w:cs="Arial"/>
          <w:sz w:val="22"/>
          <w:szCs w:val="22"/>
        </w:rPr>
        <w:t>./</w:t>
      </w:r>
      <w:r w:rsidR="0079395B">
        <w:rPr>
          <w:rFonts w:ascii="Book Antiqua" w:hAnsi="Book Antiqua" w:cs="Arial"/>
          <w:sz w:val="22"/>
          <w:szCs w:val="22"/>
        </w:rPr>
        <w:tab/>
      </w:r>
      <w:r w:rsidR="0079395B" w:rsidRPr="005C1257">
        <w:rPr>
          <w:rFonts w:ascii="Book Antiqua" w:hAnsi="Book Antiqua" w:cs="Arial"/>
          <w:sz w:val="22"/>
          <w:szCs w:val="22"/>
        </w:rPr>
        <w:t>Szakkérdések vizsgálata:</w:t>
      </w:r>
    </w:p>
    <w:p w:rsidR="0079395B" w:rsidRPr="005C1257" w:rsidRDefault="0079395B" w:rsidP="0079395B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</w:t>
      </w:r>
      <w:r w:rsidRPr="008B5206">
        <w:rPr>
          <w:rFonts w:ascii="Book Antiqua" w:hAnsi="Book Antiqua" w:cs="Arial"/>
          <w:sz w:val="22"/>
          <w:szCs w:val="22"/>
        </w:rPr>
        <w:t>hatóság</w:t>
      </w:r>
      <w:r>
        <w:rPr>
          <w:rFonts w:ascii="Book Antiqua" w:hAnsi="Book Antiqua" w:cs="Arial"/>
          <w:sz w:val="22"/>
          <w:szCs w:val="22"/>
        </w:rPr>
        <w:t xml:space="preserve"> a környezetvédelmi és természetvédelmi hatósági és igazgatási feladatokat e</w:t>
      </w:r>
      <w:r>
        <w:rPr>
          <w:rFonts w:ascii="Book Antiqua" w:hAnsi="Book Antiqua" w:cs="Arial"/>
          <w:sz w:val="22"/>
          <w:szCs w:val="22"/>
        </w:rPr>
        <w:t>l</w:t>
      </w:r>
      <w:r>
        <w:rPr>
          <w:rFonts w:ascii="Book Antiqua" w:hAnsi="Book Antiqua" w:cs="Arial"/>
          <w:sz w:val="22"/>
          <w:szCs w:val="22"/>
        </w:rPr>
        <w:t>látó szervek kijelöléséről szóló 71/2015. (III. 30.) Korm. rendeletben megállapított</w:t>
      </w:r>
      <w:r w:rsidRPr="005C1257">
        <w:rPr>
          <w:rFonts w:ascii="Book Antiqua" w:hAnsi="Book Antiqua" w:cs="Arial"/>
          <w:sz w:val="22"/>
          <w:szCs w:val="22"/>
        </w:rPr>
        <w:t xml:space="preserve"> sza</w:t>
      </w:r>
      <w:r w:rsidRPr="005C1257">
        <w:rPr>
          <w:rFonts w:ascii="Book Antiqua" w:hAnsi="Book Antiqua" w:cs="Arial"/>
          <w:sz w:val="22"/>
          <w:szCs w:val="22"/>
        </w:rPr>
        <w:t>k</w:t>
      </w:r>
      <w:r w:rsidRPr="005C1257">
        <w:rPr>
          <w:rFonts w:ascii="Book Antiqua" w:hAnsi="Book Antiqua" w:cs="Arial"/>
          <w:sz w:val="22"/>
          <w:szCs w:val="22"/>
        </w:rPr>
        <w:t>kérdéseket vizsgál</w:t>
      </w:r>
      <w:r>
        <w:rPr>
          <w:rFonts w:ascii="Book Antiqua" w:hAnsi="Book Antiqua" w:cs="Arial"/>
          <w:sz w:val="22"/>
          <w:szCs w:val="22"/>
        </w:rPr>
        <w:t>j</w:t>
      </w:r>
      <w:r w:rsidRPr="005C1257">
        <w:rPr>
          <w:rFonts w:ascii="Book Antiqua" w:hAnsi="Book Antiqua" w:cs="Arial"/>
          <w:sz w:val="22"/>
          <w:szCs w:val="22"/>
        </w:rPr>
        <w:t>a:</w:t>
      </w:r>
      <w:r>
        <w:rPr>
          <w:rFonts w:ascii="Book Antiqua" w:hAnsi="Book Antiqua" w:cs="Arial"/>
          <w:sz w:val="22"/>
          <w:szCs w:val="22"/>
        </w:rPr>
        <w:t xml:space="preserve"> pl. </w:t>
      </w:r>
      <w:r w:rsidRPr="005C1257">
        <w:rPr>
          <w:rFonts w:ascii="Book Antiqua" w:hAnsi="Book Antiqua" w:cs="Arial"/>
          <w:sz w:val="22"/>
          <w:szCs w:val="22"/>
        </w:rPr>
        <w:t>természet- és tájvédelem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hulladékgazdálkodás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levegőtiszt</w:t>
      </w:r>
      <w:r w:rsidRPr="005C1257">
        <w:rPr>
          <w:rFonts w:ascii="Book Antiqua" w:hAnsi="Book Antiqua" w:cs="Arial"/>
          <w:sz w:val="22"/>
          <w:szCs w:val="22"/>
        </w:rPr>
        <w:t>a</w:t>
      </w:r>
      <w:r w:rsidRPr="005C1257">
        <w:rPr>
          <w:rFonts w:ascii="Book Antiqua" w:hAnsi="Book Antiqua" w:cs="Arial"/>
          <w:sz w:val="22"/>
          <w:szCs w:val="22"/>
        </w:rPr>
        <w:t>ság-védelem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földtani közeg védelme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zajellenőrzés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közegészségügy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erdőre gyakorolt hatások, erdő igénybevétele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kulturális örökség védelme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termőföldre gyakorolt hatások, termőföld minőségi védelme, talajvédelem</w:t>
      </w:r>
    </w:p>
    <w:p w:rsidR="0079395B" w:rsidRPr="00564889" w:rsidRDefault="00C9290E" w:rsidP="0079395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4</w:t>
      </w:r>
      <w:r w:rsidR="0079395B">
        <w:rPr>
          <w:rFonts w:ascii="Book Antiqua" w:hAnsi="Book Antiqua" w:cs="Arial"/>
          <w:sz w:val="22"/>
          <w:szCs w:val="22"/>
        </w:rPr>
        <w:t>./</w:t>
      </w:r>
      <w:r w:rsidR="0079395B">
        <w:rPr>
          <w:rFonts w:ascii="Book Antiqua" w:hAnsi="Book Antiqua" w:cs="Arial"/>
          <w:sz w:val="22"/>
          <w:szCs w:val="22"/>
        </w:rPr>
        <w:tab/>
      </w:r>
      <w:r w:rsidR="0079395B" w:rsidRPr="00564889">
        <w:rPr>
          <w:rFonts w:ascii="Book Antiqua" w:hAnsi="Book Antiqua" w:cs="Arial"/>
          <w:sz w:val="22"/>
          <w:szCs w:val="22"/>
        </w:rPr>
        <w:t>Szakhatóság bevonása:</w:t>
      </w:r>
    </w:p>
    <w:p w:rsidR="0079395B" w:rsidRPr="00564889" w:rsidRDefault="00E01BC3" w:rsidP="0079395B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szakhatóságok bevonásáról </w:t>
      </w:r>
      <w:r w:rsidRPr="00564889">
        <w:rPr>
          <w:rFonts w:ascii="Book Antiqua" w:hAnsi="Book Antiqua" w:cs="Arial"/>
          <w:sz w:val="22"/>
          <w:szCs w:val="22"/>
        </w:rPr>
        <w:t xml:space="preserve">az egyes közérdeken alapuló kényszerítő indok alapján eljáró szakhatóságok kijelöléséről szóló 531/2017. (XII. 29.) Korm. rendelet </w:t>
      </w:r>
      <w:r>
        <w:rPr>
          <w:rFonts w:ascii="Book Antiqua" w:hAnsi="Book Antiqua" w:cs="Arial"/>
          <w:sz w:val="22"/>
          <w:szCs w:val="22"/>
        </w:rPr>
        <w:t xml:space="preserve">rendelkezik. </w:t>
      </w:r>
      <w:r w:rsidR="0079395B" w:rsidRPr="00564889">
        <w:rPr>
          <w:rFonts w:ascii="Book Antiqua" w:hAnsi="Book Antiqua" w:cs="Arial"/>
          <w:sz w:val="22"/>
          <w:szCs w:val="22"/>
        </w:rPr>
        <w:t xml:space="preserve">Az eljárásban a Jász-Nagykun-Szolnok Megyei Katasztrófavédelmi Igazgatóság (5000 Szolnok, József </w:t>
      </w:r>
      <w:proofErr w:type="gramStart"/>
      <w:r w:rsidR="0079395B" w:rsidRPr="00564889">
        <w:rPr>
          <w:rFonts w:ascii="Book Antiqua" w:hAnsi="Book Antiqua" w:cs="Arial"/>
          <w:sz w:val="22"/>
          <w:szCs w:val="22"/>
        </w:rPr>
        <w:t>A</w:t>
      </w:r>
      <w:proofErr w:type="gramEnd"/>
      <w:r w:rsidR="0079395B" w:rsidRPr="00564889">
        <w:rPr>
          <w:rFonts w:ascii="Book Antiqua" w:hAnsi="Book Antiqua" w:cs="Arial"/>
          <w:sz w:val="22"/>
          <w:szCs w:val="22"/>
        </w:rPr>
        <w:t xml:space="preserve">. </w:t>
      </w:r>
      <w:proofErr w:type="gramStart"/>
      <w:r w:rsidR="0079395B" w:rsidRPr="00564889">
        <w:rPr>
          <w:rFonts w:ascii="Book Antiqua" w:hAnsi="Book Antiqua" w:cs="Arial"/>
          <w:sz w:val="22"/>
          <w:szCs w:val="22"/>
        </w:rPr>
        <w:t>út</w:t>
      </w:r>
      <w:proofErr w:type="gramEnd"/>
      <w:r w:rsidR="0079395B" w:rsidRPr="00564889">
        <w:rPr>
          <w:rFonts w:ascii="Book Antiqua" w:hAnsi="Book Antiqua" w:cs="Arial"/>
          <w:sz w:val="22"/>
          <w:szCs w:val="22"/>
        </w:rPr>
        <w:t xml:space="preserve"> 14.) </w:t>
      </w:r>
      <w:r>
        <w:rPr>
          <w:rFonts w:ascii="Book Antiqua" w:hAnsi="Book Antiqua" w:cs="Arial"/>
          <w:sz w:val="22"/>
          <w:szCs w:val="22"/>
        </w:rPr>
        <w:t>minden esetben</w:t>
      </w:r>
      <w:r w:rsidR="0079395B" w:rsidRPr="00564889">
        <w:rPr>
          <w:rFonts w:ascii="Book Antiqua" w:hAnsi="Book Antiqua" w:cs="Arial"/>
          <w:sz w:val="22"/>
          <w:szCs w:val="22"/>
        </w:rPr>
        <w:t xml:space="preserve"> sza</w:t>
      </w:r>
      <w:r w:rsidR="0079395B" w:rsidRPr="00564889">
        <w:rPr>
          <w:rFonts w:ascii="Book Antiqua" w:hAnsi="Book Antiqua" w:cs="Arial"/>
          <w:sz w:val="22"/>
          <w:szCs w:val="22"/>
        </w:rPr>
        <w:t>k</w:t>
      </w:r>
      <w:r w:rsidR="0079395B" w:rsidRPr="00564889">
        <w:rPr>
          <w:rFonts w:ascii="Book Antiqua" w:hAnsi="Book Antiqua" w:cs="Arial"/>
          <w:sz w:val="22"/>
          <w:szCs w:val="22"/>
        </w:rPr>
        <w:t>hatóságként vesz</w:t>
      </w:r>
      <w:r w:rsidR="0097318E" w:rsidRPr="0097318E">
        <w:rPr>
          <w:rFonts w:ascii="Book Antiqua" w:hAnsi="Book Antiqua" w:cs="Arial"/>
          <w:sz w:val="22"/>
          <w:szCs w:val="22"/>
        </w:rPr>
        <w:t xml:space="preserve"> </w:t>
      </w:r>
      <w:r w:rsidR="0097318E" w:rsidRPr="00564889">
        <w:rPr>
          <w:rFonts w:ascii="Book Antiqua" w:hAnsi="Book Antiqua" w:cs="Arial"/>
          <w:sz w:val="22"/>
          <w:szCs w:val="22"/>
        </w:rPr>
        <w:t>részt</w:t>
      </w:r>
      <w:r w:rsidR="0079395B" w:rsidRPr="00564889">
        <w:rPr>
          <w:rFonts w:ascii="Book Antiqua" w:hAnsi="Book Antiqua" w:cs="Arial"/>
          <w:sz w:val="22"/>
          <w:szCs w:val="22"/>
        </w:rPr>
        <w:t>.</w:t>
      </w:r>
    </w:p>
    <w:p w:rsidR="0079395B" w:rsidRDefault="0079395B" w:rsidP="0079395B">
      <w:pPr>
        <w:pStyle w:val="Norml1"/>
        <w:tabs>
          <w:tab w:val="left" w:leader="dot" w:pos="3828"/>
          <w:tab w:val="left" w:leader="dot" w:pos="4395"/>
        </w:tabs>
        <w:spacing w:line="300" w:lineRule="exact"/>
        <w:rPr>
          <w:rFonts w:ascii="Book Antiqua" w:hAnsi="Book Antiqua" w:cs="Arial"/>
          <w:sz w:val="22"/>
        </w:rPr>
      </w:pPr>
    </w:p>
    <w:p w:rsidR="0079395B" w:rsidRPr="00564889" w:rsidRDefault="0079395B" w:rsidP="0079395B">
      <w:pPr>
        <w:pStyle w:val="Norml1"/>
        <w:tabs>
          <w:tab w:val="left" w:leader="dot" w:pos="3828"/>
          <w:tab w:val="left" w:leader="dot" w:pos="4395"/>
        </w:tabs>
        <w:spacing w:line="300" w:lineRule="exact"/>
        <w:rPr>
          <w:rFonts w:ascii="Book Antiqua" w:hAnsi="Book Antiqua" w:cs="Arial"/>
          <w:sz w:val="22"/>
        </w:rPr>
      </w:pPr>
      <w:r w:rsidRPr="00564889">
        <w:rPr>
          <w:rFonts w:ascii="Book Antiqua" w:hAnsi="Book Antiqua" w:cs="Arial"/>
          <w:sz w:val="22"/>
        </w:rPr>
        <w:t>Az ügyben a hatóság döntése az alábbiakra vonatkozhat:</w:t>
      </w:r>
    </w:p>
    <w:p w:rsidR="0079395B" w:rsidRPr="00564889" w:rsidRDefault="0079395B" w:rsidP="0079395B">
      <w:pPr>
        <w:pStyle w:val="Norml1"/>
        <w:numPr>
          <w:ilvl w:val="0"/>
          <w:numId w:val="19"/>
        </w:numPr>
        <w:tabs>
          <w:tab w:val="left" w:leader="dot" w:pos="3828"/>
          <w:tab w:val="left" w:leader="dot" w:pos="4395"/>
        </w:tabs>
        <w:spacing w:line="300" w:lineRule="exact"/>
        <w:rPr>
          <w:rFonts w:ascii="Book Antiqua" w:hAnsi="Book Antiqua" w:cs="Arial"/>
          <w:sz w:val="22"/>
        </w:rPr>
      </w:pPr>
      <w:r w:rsidRPr="00564889">
        <w:rPr>
          <w:rFonts w:ascii="Book Antiqua" w:hAnsi="Book Antiqua" w:cs="Arial"/>
          <w:sz w:val="22"/>
        </w:rPr>
        <w:t>felmerült-e kizáró ok a kérelemben foglalt tevékenységre vonatkozóan</w:t>
      </w:r>
    </w:p>
    <w:p w:rsidR="0079395B" w:rsidRPr="00564889" w:rsidRDefault="0079395B" w:rsidP="0079395B">
      <w:pPr>
        <w:pStyle w:val="Norml1"/>
        <w:numPr>
          <w:ilvl w:val="0"/>
          <w:numId w:val="19"/>
        </w:numPr>
        <w:tabs>
          <w:tab w:val="left" w:leader="dot" w:pos="3828"/>
          <w:tab w:val="left" w:leader="dot" w:pos="4395"/>
        </w:tabs>
        <w:spacing w:line="300" w:lineRule="exact"/>
        <w:rPr>
          <w:rFonts w:ascii="Book Antiqua" w:hAnsi="Book Antiqua" w:cs="Arial"/>
          <w:sz w:val="22"/>
        </w:rPr>
      </w:pPr>
      <w:r w:rsidRPr="00564889">
        <w:rPr>
          <w:rFonts w:ascii="Book Antiqua" w:hAnsi="Book Antiqua" w:cs="Arial"/>
          <w:sz w:val="22"/>
        </w:rPr>
        <w:t>kell-e környezeti hatásvizsgálati / egységes környezethasználati engedélyezési eljárást lefolytatni</w:t>
      </w:r>
    </w:p>
    <w:p w:rsidR="0079395B" w:rsidRPr="0079395B" w:rsidRDefault="0079395B" w:rsidP="0079395B">
      <w:pPr>
        <w:pStyle w:val="Norml1"/>
        <w:numPr>
          <w:ilvl w:val="0"/>
          <w:numId w:val="19"/>
        </w:numPr>
        <w:tabs>
          <w:tab w:val="left" w:leader="dot" w:pos="3828"/>
          <w:tab w:val="left" w:leader="dot" w:pos="4395"/>
        </w:tabs>
        <w:spacing w:line="300" w:lineRule="exact"/>
        <w:rPr>
          <w:rFonts w:ascii="Book Antiqua" w:hAnsi="Book Antiqua" w:cs="Arial"/>
          <w:sz w:val="22"/>
        </w:rPr>
      </w:pPr>
      <w:r w:rsidRPr="00564889">
        <w:rPr>
          <w:rFonts w:ascii="Book Antiqua" w:hAnsi="Book Antiqua" w:cs="Arial"/>
          <w:sz w:val="22"/>
        </w:rPr>
        <w:t>szükséges-e egyéb környezethasználati</w:t>
      </w:r>
      <w:r>
        <w:rPr>
          <w:rFonts w:ascii="Book Antiqua" w:hAnsi="Book Antiqua" w:cs="Arial"/>
          <w:sz w:val="22"/>
        </w:rPr>
        <w:t xml:space="preserve">, </w:t>
      </w:r>
      <w:r w:rsidR="0097318E">
        <w:rPr>
          <w:rFonts w:ascii="Book Antiqua" w:hAnsi="Book Antiqua" w:cs="Arial"/>
          <w:sz w:val="22"/>
        </w:rPr>
        <w:t>természetvédelmi</w:t>
      </w:r>
      <w:r w:rsidR="0097318E" w:rsidRPr="00564889">
        <w:rPr>
          <w:rFonts w:ascii="Book Antiqua" w:hAnsi="Book Antiqua" w:cs="Arial"/>
          <w:sz w:val="22"/>
        </w:rPr>
        <w:t xml:space="preserve"> </w:t>
      </w:r>
      <w:r>
        <w:rPr>
          <w:rFonts w:ascii="Book Antiqua" w:hAnsi="Book Antiqua" w:cs="Arial"/>
          <w:sz w:val="22"/>
        </w:rPr>
        <w:t xml:space="preserve">vagy </w:t>
      </w:r>
      <w:r w:rsidR="0097318E">
        <w:rPr>
          <w:rFonts w:ascii="Book Antiqua" w:hAnsi="Book Antiqua" w:cs="Arial"/>
          <w:sz w:val="22"/>
        </w:rPr>
        <w:t xml:space="preserve">hulladékgazdálkodási </w:t>
      </w:r>
      <w:r w:rsidRPr="00564889">
        <w:rPr>
          <w:rFonts w:ascii="Book Antiqua" w:hAnsi="Book Antiqua" w:cs="Arial"/>
          <w:sz w:val="22"/>
        </w:rPr>
        <w:t>engedély a tev</w:t>
      </w:r>
      <w:r w:rsidRPr="00564889">
        <w:rPr>
          <w:rFonts w:ascii="Book Antiqua" w:hAnsi="Book Antiqua" w:cs="Arial"/>
          <w:sz w:val="22"/>
        </w:rPr>
        <w:t>é</w:t>
      </w:r>
      <w:r w:rsidRPr="00564889">
        <w:rPr>
          <w:rFonts w:ascii="Book Antiqua" w:hAnsi="Book Antiqua" w:cs="Arial"/>
          <w:sz w:val="22"/>
        </w:rPr>
        <w:t>kenység megkezdéséhez</w:t>
      </w:r>
    </w:p>
    <w:p w:rsidR="0079395B" w:rsidRDefault="0079395B" w:rsidP="00D7151B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D7151B" w:rsidRPr="005C1257" w:rsidRDefault="0079395B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br w:type="page"/>
      </w:r>
    </w:p>
    <w:p w:rsidR="00D7151B" w:rsidRPr="00510B93" w:rsidRDefault="00D7151B" w:rsidP="00D7151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C1257">
        <w:rPr>
          <w:rFonts w:ascii="Book Antiqua" w:hAnsi="Book Antiqua"/>
          <w:sz w:val="22"/>
        </w:rPr>
        <w:lastRenderedPageBreak/>
        <w:t>Az előzetes vizsgálatra vonatkozó kérelemhez csatolni kell a környezeti hatásvizsgálati és az egységes környezethasználati engedélyezési eljárásról szóló 314/2005. (XII. 25.) Korm. rend</w:t>
      </w:r>
      <w:r w:rsidRPr="005C1257">
        <w:rPr>
          <w:rFonts w:ascii="Book Antiqua" w:hAnsi="Book Antiqua"/>
          <w:sz w:val="22"/>
        </w:rPr>
        <w:t>e</w:t>
      </w:r>
      <w:r w:rsidRPr="005C1257">
        <w:rPr>
          <w:rFonts w:ascii="Book Antiqua" w:hAnsi="Book Antiqua"/>
          <w:sz w:val="22"/>
        </w:rPr>
        <w:t>let 4. számú melléklet szerinti tartalmi követelményeknek megfelelő előzetes vizsgálati d</w:t>
      </w:r>
      <w:r w:rsidRPr="005C1257">
        <w:rPr>
          <w:rFonts w:ascii="Book Antiqua" w:hAnsi="Book Antiqua"/>
          <w:sz w:val="22"/>
        </w:rPr>
        <w:t>o</w:t>
      </w:r>
      <w:r w:rsidRPr="005C1257">
        <w:rPr>
          <w:rFonts w:ascii="Book Antiqua" w:hAnsi="Book Antiqua"/>
          <w:sz w:val="22"/>
        </w:rPr>
        <w:t>kumentációt, amelynek egyes részeit a tartalmi követelményeknek megfelelő részszakterül</w:t>
      </w:r>
      <w:r w:rsidRPr="005C1257">
        <w:rPr>
          <w:rFonts w:ascii="Book Antiqua" w:hAnsi="Book Antiqua"/>
          <w:sz w:val="22"/>
        </w:rPr>
        <w:t>e</w:t>
      </w:r>
      <w:r w:rsidRPr="005C1257">
        <w:rPr>
          <w:rFonts w:ascii="Book Antiqua" w:hAnsi="Book Antiqua"/>
          <w:sz w:val="22"/>
        </w:rPr>
        <w:t>teken - a környezetvédelmi, természetvédelmi, vízgazdálkodási és tájvédelmi szakértői tev</w:t>
      </w:r>
      <w:r w:rsidRPr="005C1257">
        <w:rPr>
          <w:rFonts w:ascii="Book Antiqua" w:hAnsi="Book Antiqua"/>
          <w:sz w:val="22"/>
        </w:rPr>
        <w:t>é</w:t>
      </w:r>
      <w:r w:rsidRPr="00510B93">
        <w:rPr>
          <w:rFonts w:ascii="Book Antiqua" w:hAnsi="Book Antiqua"/>
          <w:sz w:val="22"/>
        </w:rPr>
        <w:t>kenységről szóló jogszabály alapján - szakértői jogosultsággal rendelkező szakértő készíti el.</w:t>
      </w:r>
    </w:p>
    <w:p w:rsidR="00D7151B" w:rsidRDefault="00D7151B" w:rsidP="00D7151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79395B" w:rsidRPr="00F31AA4" w:rsidRDefault="0079395B" w:rsidP="00D7151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F31AA4">
        <w:rPr>
          <w:rFonts w:ascii="Book Antiqua" w:hAnsi="Book Antiqua"/>
          <w:b/>
          <w:sz w:val="22"/>
        </w:rPr>
        <w:t>Az előzetes vizsgálati dokumentáció tartalmi követelményei:</w:t>
      </w:r>
    </w:p>
    <w:p w:rsidR="00956508" w:rsidRPr="00956508" w:rsidRDefault="00956508" w:rsidP="00956508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1. Az 1. vagy a 3. számú mellékletbe</w:t>
      </w:r>
      <w:r w:rsidR="00F31AA4">
        <w:rPr>
          <w:rFonts w:ascii="Book Antiqua" w:hAnsi="Book Antiqua"/>
          <w:sz w:val="22"/>
        </w:rPr>
        <w:t xml:space="preserve"> tartozó tevékenységek esetén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a</w:t>
      </w:r>
      <w:proofErr w:type="gramEnd"/>
      <w:r w:rsidRPr="00956508">
        <w:rPr>
          <w:rFonts w:ascii="Book Antiqua" w:hAnsi="Book Antiqua"/>
          <w:sz w:val="22"/>
        </w:rPr>
        <w:t>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tervezett tevékenység célja, a vizekbe történő beavatkozással járó tevékenység esetében a közérdek bemutatásával együtt;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b)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tervezett tevékenység, továbbá ha vannak más ésszerű telepítési, technológiai vagy egyéb változatai (a továbbiakban együtt: számításba vett változatok), akkor azok alapad</w:t>
      </w:r>
      <w:r w:rsidRPr="00956508">
        <w:rPr>
          <w:rFonts w:ascii="Book Antiqua" w:hAnsi="Book Antiqua"/>
          <w:sz w:val="22"/>
        </w:rPr>
        <w:t>a</w:t>
      </w:r>
      <w:r w:rsidRPr="00956508">
        <w:rPr>
          <w:rFonts w:ascii="Book Antiqua" w:hAnsi="Book Antiqua"/>
          <w:sz w:val="22"/>
        </w:rPr>
        <w:t>tai: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ba</w:t>
      </w:r>
      <w:proofErr w:type="spellEnd"/>
      <w:r w:rsidRPr="00956508">
        <w:rPr>
          <w:rFonts w:ascii="Book Antiqua" w:hAnsi="Book Antiqua"/>
          <w:sz w:val="22"/>
        </w:rPr>
        <w:t>) a tevékenység volumene,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bb</w:t>
      </w:r>
      <w:proofErr w:type="spellEnd"/>
      <w:r w:rsidRPr="00956508">
        <w:rPr>
          <w:rFonts w:ascii="Book Antiqua" w:hAnsi="Book Antiqua"/>
          <w:sz w:val="22"/>
        </w:rPr>
        <w:t>) a telepítés és a működés vagy használat megkezdésének várható időpontja és időtart</w:t>
      </w:r>
      <w:r w:rsidRPr="00956508">
        <w:rPr>
          <w:rFonts w:ascii="Book Antiqua" w:hAnsi="Book Antiqua"/>
          <w:sz w:val="22"/>
        </w:rPr>
        <w:t>a</w:t>
      </w:r>
      <w:r w:rsidRPr="00956508">
        <w:rPr>
          <w:rFonts w:ascii="Book Antiqua" w:hAnsi="Book Antiqua"/>
          <w:sz w:val="22"/>
        </w:rPr>
        <w:t>ma, a kapacitáskihasználás tervezett időbeli megoszlása,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bc</w:t>
      </w:r>
      <w:proofErr w:type="spellEnd"/>
      <w:r w:rsidRPr="00956508">
        <w:rPr>
          <w:rFonts w:ascii="Book Antiqua" w:hAnsi="Book Antiqua"/>
          <w:sz w:val="22"/>
        </w:rPr>
        <w:t>) a tevékenység helye és területigénye, az igénybe veendő terület használatának jelenlegi és a településrendezési eszközökben rögzített módja,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bd</w:t>
      </w:r>
      <w:proofErr w:type="spellEnd"/>
      <w:r w:rsidRPr="00956508">
        <w:rPr>
          <w:rFonts w:ascii="Book Antiqua" w:hAnsi="Book Antiqua"/>
          <w:sz w:val="22"/>
        </w:rPr>
        <w:t>) a tevékenység megvalósításához szükséges létesítmények, valamint az azokhoz kapcs</w:t>
      </w:r>
      <w:r w:rsidRPr="00956508">
        <w:rPr>
          <w:rFonts w:ascii="Book Antiqua" w:hAnsi="Book Antiqua"/>
          <w:sz w:val="22"/>
        </w:rPr>
        <w:t>o</w:t>
      </w:r>
      <w:r w:rsidRPr="00956508">
        <w:rPr>
          <w:rFonts w:ascii="Book Antiqua" w:hAnsi="Book Antiqua"/>
          <w:sz w:val="22"/>
        </w:rPr>
        <w:t>lódó létesítmények felsorolása és helye,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be</w:t>
      </w:r>
      <w:proofErr w:type="gramEnd"/>
      <w:r w:rsidRPr="00956508">
        <w:rPr>
          <w:rFonts w:ascii="Book Antiqua" w:hAnsi="Book Antiqua"/>
          <w:sz w:val="22"/>
        </w:rPr>
        <w:t>) a tervezett technológia, vagy ahol nem értelmezhető, a tevékenység megvalósításának leírása, ideértve az anyagfelhasználás főbb mutatóinak megadását,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bf</w:t>
      </w:r>
      <w:proofErr w:type="spellEnd"/>
      <w:r w:rsidRPr="00956508">
        <w:rPr>
          <w:rFonts w:ascii="Book Antiqua" w:hAnsi="Book Antiqua"/>
          <w:sz w:val="22"/>
        </w:rPr>
        <w:t>) a tevékenységhez szükséges teher- és személyszállítás nagyságrendje, szállításigényess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ge, szolgáltatást nyújtó tevékenységnél a szolgáltatást igénybe vevők által keltett jármű- és személyforgalomé is,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bg</w:t>
      </w:r>
      <w:proofErr w:type="spellEnd"/>
      <w:r w:rsidRPr="00956508">
        <w:rPr>
          <w:rFonts w:ascii="Book Antiqua" w:hAnsi="Book Antiqua"/>
          <w:sz w:val="22"/>
        </w:rPr>
        <w:t>) a már tervbe vett környezetvédelmi létesítmények és intézkedések,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bh</w:t>
      </w:r>
      <w:proofErr w:type="spellEnd"/>
      <w:r w:rsidRPr="00956508">
        <w:rPr>
          <w:rFonts w:ascii="Book Antiqua" w:hAnsi="Book Antiqua"/>
          <w:sz w:val="22"/>
        </w:rPr>
        <w:t>) a tevékenység telepítéséhez, megvalósításához és felhagyásához szükséges kapcsolódó műveletek: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 xml:space="preserve">1. a telepítés miatt megnyitott bányaüzem, </w:t>
      </w:r>
      <w:proofErr w:type="spellStart"/>
      <w:r w:rsidRPr="00956508">
        <w:rPr>
          <w:rFonts w:ascii="Book Antiqua" w:hAnsi="Book Antiqua"/>
          <w:sz w:val="22"/>
        </w:rPr>
        <w:t>célkitermelőhely</w:t>
      </w:r>
      <w:proofErr w:type="spellEnd"/>
      <w:r w:rsidRPr="00956508">
        <w:rPr>
          <w:rFonts w:ascii="Book Antiqua" w:hAnsi="Book Antiqua"/>
          <w:sz w:val="22"/>
        </w:rPr>
        <w:t xml:space="preserve"> vagy lerakóhely létesítése és üzemeltetése, a telepítéshez szükséges tereprendezés vagy mederkotrás,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2. a telepítéshez és a megvalósításhoz szükséges szállítás, raktározás, tárolás, vízrendezés,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3.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megvalósítás során keletkező hulladékokkal történő gazdálkodás, és szennyvízkez</w:t>
      </w:r>
      <w:r w:rsidRPr="00956508">
        <w:rPr>
          <w:rFonts w:ascii="Book Antiqua" w:hAnsi="Book Antiqua"/>
          <w:sz w:val="22"/>
        </w:rPr>
        <w:t>e</w:t>
      </w:r>
      <w:r w:rsidRPr="00956508">
        <w:rPr>
          <w:rFonts w:ascii="Book Antiqua" w:hAnsi="Book Antiqua"/>
          <w:sz w:val="22"/>
        </w:rPr>
        <w:t>lés,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4. az energia- és vízellátás, ha az saját energiaellátó-rendszerrel vagy vízkivétellel történik,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 xml:space="preserve">5. egyéb - a </w:t>
      </w:r>
      <w:proofErr w:type="spellStart"/>
      <w:r w:rsidRPr="00956508">
        <w:rPr>
          <w:rFonts w:ascii="Book Antiqua" w:hAnsi="Book Antiqua"/>
          <w:sz w:val="22"/>
        </w:rPr>
        <w:t>bd</w:t>
      </w:r>
      <w:proofErr w:type="spellEnd"/>
      <w:r w:rsidRPr="00956508">
        <w:rPr>
          <w:rFonts w:ascii="Book Antiqua" w:hAnsi="Book Antiqua"/>
          <w:sz w:val="22"/>
        </w:rPr>
        <w:t>)</w:t>
      </w:r>
      <w:proofErr w:type="spellStart"/>
      <w:r w:rsidRPr="00956508">
        <w:rPr>
          <w:rFonts w:ascii="Book Antiqua" w:hAnsi="Book Antiqua"/>
          <w:sz w:val="22"/>
        </w:rPr>
        <w:t>-bg</w:t>
      </w:r>
      <w:proofErr w:type="spellEnd"/>
      <w:r w:rsidRPr="00956508">
        <w:rPr>
          <w:rFonts w:ascii="Book Antiqua" w:hAnsi="Book Antiqua"/>
          <w:sz w:val="22"/>
        </w:rPr>
        <w:t>) pontokban nem szereplő - kapcsolódó művelet,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6.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telepítést megelőző bontási munkálatok ismertetése, az azok során keletkező hullad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kok és a kezelésükre tervezett intézkedések, továbbá az előbbieknek az egyes környezeti elemekre gyakorolt hatásának bemutatása;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proofErr w:type="gramStart"/>
      <w:r w:rsidRPr="00956508">
        <w:rPr>
          <w:rFonts w:ascii="Book Antiqua" w:hAnsi="Book Antiqua"/>
          <w:sz w:val="22"/>
        </w:rPr>
        <w:t>bi</w:t>
      </w:r>
      <w:proofErr w:type="spellEnd"/>
      <w:proofErr w:type="gramEnd"/>
      <w:r w:rsidRPr="00956508">
        <w:rPr>
          <w:rFonts w:ascii="Book Antiqua" w:hAnsi="Book Antiqua"/>
          <w:sz w:val="22"/>
        </w:rPr>
        <w:t>) Magyarországon új, külföldön már alkalmazott technológia bevezetése esetében külföldi referencia,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bj</w:t>
      </w:r>
      <w:proofErr w:type="spellEnd"/>
      <w:r w:rsidRPr="00956508">
        <w:rPr>
          <w:rFonts w:ascii="Book Antiqua" w:hAnsi="Book Antiqua"/>
          <w:sz w:val="22"/>
        </w:rPr>
        <w:t xml:space="preserve">) a </w:t>
      </w:r>
      <w:proofErr w:type="spellStart"/>
      <w:r w:rsidRPr="00956508">
        <w:rPr>
          <w:rFonts w:ascii="Book Antiqua" w:hAnsi="Book Antiqua"/>
          <w:sz w:val="22"/>
        </w:rPr>
        <w:t>ba</w:t>
      </w:r>
      <w:proofErr w:type="spellEnd"/>
      <w:r w:rsidRPr="00956508">
        <w:rPr>
          <w:rFonts w:ascii="Book Antiqua" w:hAnsi="Book Antiqua"/>
          <w:sz w:val="22"/>
        </w:rPr>
        <w:t>)</w:t>
      </w:r>
      <w:proofErr w:type="spellStart"/>
      <w:r w:rsidRPr="00956508">
        <w:rPr>
          <w:rFonts w:ascii="Book Antiqua" w:hAnsi="Book Antiqua"/>
          <w:sz w:val="22"/>
        </w:rPr>
        <w:t>-bi</w:t>
      </w:r>
      <w:proofErr w:type="spellEnd"/>
      <w:r w:rsidRPr="00956508">
        <w:rPr>
          <w:rFonts w:ascii="Book Antiqua" w:hAnsi="Book Antiqua"/>
          <w:sz w:val="22"/>
        </w:rPr>
        <w:t>) pont szerinti adatok bizonytalansága, rendelkezésre állása, megadva azt, hogy a tervezés mely későbbi szakaszában és milyen információk ismeretében lehet azokat po</w:t>
      </w:r>
      <w:r w:rsidRPr="00956508">
        <w:rPr>
          <w:rFonts w:ascii="Book Antiqua" w:hAnsi="Book Antiqua"/>
          <w:sz w:val="22"/>
        </w:rPr>
        <w:t>n</w:t>
      </w:r>
      <w:r w:rsidRPr="00956508">
        <w:rPr>
          <w:rFonts w:ascii="Book Antiqua" w:hAnsi="Book Antiqua"/>
          <w:sz w:val="22"/>
        </w:rPr>
        <w:t>tosítani,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lastRenderedPageBreak/>
        <w:t>bk</w:t>
      </w:r>
      <w:proofErr w:type="spellEnd"/>
      <w:r w:rsidRPr="00956508">
        <w:rPr>
          <w:rFonts w:ascii="Book Antiqua" w:hAnsi="Book Antiqua"/>
          <w:sz w:val="22"/>
        </w:rPr>
        <w:t>) a telepítési hely lehatárolása térképen, megjelölve a telepítési hely szomszédságában meglévő vagy - a településrendezési tervekben szereplő - tervezett terület-felhasználási módokat,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bl</w:t>
      </w:r>
      <w:proofErr w:type="spellEnd"/>
      <w:r w:rsidRPr="00956508">
        <w:rPr>
          <w:rFonts w:ascii="Book Antiqua" w:hAnsi="Book Antiqua"/>
          <w:sz w:val="22"/>
        </w:rPr>
        <w:t>) a tevékenység megvalósítása szükségessé teszi-e területrendezési tervek vagy a települé</w:t>
      </w:r>
      <w:r w:rsidRPr="00956508">
        <w:rPr>
          <w:rFonts w:ascii="Book Antiqua" w:hAnsi="Book Antiqua"/>
          <w:sz w:val="22"/>
        </w:rPr>
        <w:t>s</w:t>
      </w:r>
      <w:r w:rsidRPr="00956508">
        <w:rPr>
          <w:rFonts w:ascii="Book Antiqua" w:hAnsi="Book Antiqua"/>
          <w:sz w:val="22"/>
        </w:rPr>
        <w:t>rendezési eszközök módosítását,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bm</w:t>
      </w:r>
      <w:proofErr w:type="spellEnd"/>
      <w:r w:rsidRPr="00956508">
        <w:rPr>
          <w:rFonts w:ascii="Book Antiqua" w:hAnsi="Book Antiqua"/>
          <w:sz w:val="22"/>
        </w:rPr>
        <w:t>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nyilatkozat arról, hogy a tevékenység megkezdését követően sor kerül-e összetartozó tevékenységnek minősülő új tevékenység megvalósítására, és a tevékenység a telepítési helyen vagy a szomszédos ingatlanon folytatott vagy tervezett azonos jellegű más tev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kenységgel összeadódva eléri-e a tevékenységre az 1. vagy a 3. számú melléklet szerinti meghatározott küszöbértéket,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bn</w:t>
      </w:r>
      <w:proofErr w:type="spellEnd"/>
      <w:r w:rsidRPr="00956508">
        <w:rPr>
          <w:rFonts w:ascii="Book Antiqua" w:hAnsi="Book Antiqua"/>
          <w:sz w:val="22"/>
        </w:rPr>
        <w:t>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vizekbe történő beavatkozással járó tevékenység társadalmi-gazdasági előnyeinek b</w:t>
      </w:r>
      <w:r w:rsidRPr="00956508">
        <w:rPr>
          <w:rFonts w:ascii="Book Antiqua" w:hAnsi="Book Antiqua"/>
          <w:sz w:val="22"/>
        </w:rPr>
        <w:t>e</w:t>
      </w:r>
      <w:r w:rsidRPr="00956508">
        <w:rPr>
          <w:rFonts w:ascii="Book Antiqua" w:hAnsi="Book Antiqua"/>
          <w:sz w:val="22"/>
        </w:rPr>
        <w:t>mutatása, költség-haszon elemzés alapján;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c) a számításba vett változatok összefüggése olyan korábbi, különösen terület- vagy telep</w:t>
      </w:r>
      <w:r w:rsidRPr="00956508">
        <w:rPr>
          <w:rFonts w:ascii="Book Antiqua" w:hAnsi="Book Antiqua"/>
          <w:sz w:val="22"/>
        </w:rPr>
        <w:t>ü</w:t>
      </w:r>
      <w:r w:rsidRPr="00956508">
        <w:rPr>
          <w:rFonts w:ascii="Book Antiqua" w:hAnsi="Book Antiqua"/>
          <w:sz w:val="22"/>
        </w:rPr>
        <w:t>lésfejlesztési, illetve rendezési tervekkel, infrastruktúra-fejlesztési döntésekkel és term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szeti erőforrás felhasználási vagy védelmi koncepciókkal, amelyek befolyásolták a telep</w:t>
      </w:r>
      <w:r w:rsidRPr="00956508">
        <w:rPr>
          <w:rFonts w:ascii="Book Antiqua" w:hAnsi="Book Antiqua"/>
          <w:sz w:val="22"/>
        </w:rPr>
        <w:t>í</w:t>
      </w:r>
      <w:r w:rsidRPr="00956508">
        <w:rPr>
          <w:rFonts w:ascii="Book Antiqua" w:hAnsi="Book Antiqua"/>
          <w:sz w:val="22"/>
        </w:rPr>
        <w:t>tési hely és a megvalósítási mód kiválasztását;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d) nyomvonalas létesítménynél a tervezett nyomvonal továbbvezetésének és távlati kiépít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sének ismertetése, és a továbbvezetés tervezése során figyelembe vett környezeti sze</w:t>
      </w:r>
      <w:r w:rsidRPr="00956508">
        <w:rPr>
          <w:rFonts w:ascii="Book Antiqua" w:hAnsi="Book Antiqua"/>
          <w:sz w:val="22"/>
        </w:rPr>
        <w:t>m</w:t>
      </w:r>
      <w:r w:rsidRPr="00956508">
        <w:rPr>
          <w:rFonts w:ascii="Book Antiqua" w:hAnsi="Book Antiqua"/>
          <w:sz w:val="22"/>
        </w:rPr>
        <w:t>pontok, feltárt környezeti hatások összegzése;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e</w:t>
      </w:r>
      <w:proofErr w:type="gramEnd"/>
      <w:r w:rsidRPr="00956508">
        <w:rPr>
          <w:rFonts w:ascii="Book Antiqua" w:hAnsi="Book Antiqua"/>
          <w:sz w:val="22"/>
        </w:rPr>
        <w:t>) a b) pontban számításba vett változatok környezetterhelése és környezet-igénybevétele (a továbbiakban együtt: hatótényezők) várható mértékének előzetes becslése a tevékenység szakaszaiként [6. § (2) bekezdés] elkülönítve, az esetlegesen környezetterhelést okozó ba</w:t>
      </w:r>
      <w:r w:rsidRPr="00956508">
        <w:rPr>
          <w:rFonts w:ascii="Book Antiqua" w:hAnsi="Book Antiqua"/>
          <w:sz w:val="22"/>
        </w:rPr>
        <w:t>l</w:t>
      </w:r>
      <w:r w:rsidRPr="00956508">
        <w:rPr>
          <w:rFonts w:ascii="Book Antiqua" w:hAnsi="Book Antiqua"/>
          <w:sz w:val="22"/>
        </w:rPr>
        <w:t>esetek vagy meghibásodások előfordulási lehetőségeire figyelemmel;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f</w:t>
      </w:r>
      <w:proofErr w:type="gramEnd"/>
      <w:r w:rsidRPr="00956508">
        <w:rPr>
          <w:rFonts w:ascii="Book Antiqua" w:hAnsi="Book Antiqua"/>
          <w:sz w:val="22"/>
        </w:rPr>
        <w:t>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tevékenység telepítése, működése, felhagyása során az egyes környezeti elemekre várh</w:t>
      </w:r>
      <w:r w:rsidRPr="00956508">
        <w:rPr>
          <w:rFonts w:ascii="Book Antiqua" w:hAnsi="Book Antiqua"/>
          <w:sz w:val="22"/>
        </w:rPr>
        <w:t>a</w:t>
      </w:r>
      <w:r w:rsidRPr="00956508">
        <w:rPr>
          <w:rFonts w:ascii="Book Antiqua" w:hAnsi="Book Antiqua"/>
          <w:sz w:val="22"/>
        </w:rPr>
        <w:t>tóan gyakorolt hatások előzetes becslése, figyelembe véve a c) pontban leírt befolyásoló tényezőket is, különösen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fa</w:t>
      </w:r>
      <w:proofErr w:type="gramEnd"/>
      <w:r w:rsidRPr="00956508">
        <w:rPr>
          <w:rFonts w:ascii="Book Antiqua" w:hAnsi="Book Antiqua"/>
          <w:sz w:val="22"/>
        </w:rPr>
        <w:t>) a hatótényezők milyen jellegű hatásfolyamatokat indíthatnak el, új telepítésnél annak becslése is, hogy a terület állapota és funkciói miként változhatnak meg a telepítés köve</w:t>
      </w:r>
      <w:r w:rsidRPr="00956508">
        <w:rPr>
          <w:rFonts w:ascii="Book Antiqua" w:hAnsi="Book Antiqua"/>
          <w:sz w:val="22"/>
        </w:rPr>
        <w:t>t</w:t>
      </w:r>
      <w:r w:rsidRPr="00956508">
        <w:rPr>
          <w:rFonts w:ascii="Book Antiqua" w:hAnsi="Book Antiqua"/>
          <w:sz w:val="22"/>
        </w:rPr>
        <w:t>keztében, beleértve az éghajlatváltozást,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fb</w:t>
      </w:r>
      <w:proofErr w:type="spellEnd"/>
      <w:r w:rsidRPr="00956508">
        <w:rPr>
          <w:rFonts w:ascii="Book Antiqua" w:hAnsi="Book Antiqua"/>
          <w:sz w:val="22"/>
        </w:rPr>
        <w:t>) a hatásfolyamatok milyen területekre terjedhetnek ki; e területeket térképen is körül kell határolni,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fc</w:t>
      </w:r>
      <w:proofErr w:type="spellEnd"/>
      <w:r w:rsidRPr="00956508">
        <w:rPr>
          <w:rFonts w:ascii="Book Antiqua" w:hAnsi="Book Antiqua"/>
          <w:sz w:val="22"/>
        </w:rPr>
        <w:t xml:space="preserve">) az </w:t>
      </w:r>
      <w:proofErr w:type="spellStart"/>
      <w:r w:rsidRPr="00956508">
        <w:rPr>
          <w:rFonts w:ascii="Book Antiqua" w:hAnsi="Book Antiqua"/>
          <w:sz w:val="22"/>
        </w:rPr>
        <w:t>fb</w:t>
      </w:r>
      <w:proofErr w:type="spellEnd"/>
      <w:r w:rsidRPr="00956508">
        <w:rPr>
          <w:rFonts w:ascii="Book Antiqua" w:hAnsi="Book Antiqua"/>
          <w:sz w:val="22"/>
        </w:rPr>
        <w:t>) pont szerinti területről rendelkezésre álló környezeti állapot, területhasználati és demográfiai adatok, valamint a hatásfolyamatok jellegének ismeretében milyen és me</w:t>
      </w:r>
      <w:r w:rsidRPr="00956508">
        <w:rPr>
          <w:rFonts w:ascii="Book Antiqua" w:hAnsi="Book Antiqua"/>
          <w:sz w:val="22"/>
        </w:rPr>
        <w:t>n</w:t>
      </w:r>
      <w:r w:rsidRPr="00956508">
        <w:rPr>
          <w:rFonts w:ascii="Book Antiqua" w:hAnsi="Book Antiqua"/>
          <w:sz w:val="22"/>
        </w:rPr>
        <w:t>nyire jelentős környezeti állapotváltozások (hatások) léphetnek fel,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fd</w:t>
      </w:r>
      <w:proofErr w:type="spellEnd"/>
      <w:r w:rsidRPr="00956508">
        <w:rPr>
          <w:rFonts w:ascii="Book Antiqua" w:hAnsi="Book Antiqua"/>
          <w:sz w:val="22"/>
        </w:rPr>
        <w:t>) a védett természeti területet, barlangot, Natura 2000 területet, és a terület természetv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delmi státuszától függetlenül a védett fajokat érintő hatások ismertetése,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fe</w:t>
      </w:r>
      <w:proofErr w:type="spellEnd"/>
      <w:r w:rsidRPr="00956508">
        <w:rPr>
          <w:rFonts w:ascii="Book Antiqua" w:hAnsi="Book Antiqua"/>
          <w:sz w:val="22"/>
        </w:rPr>
        <w:t>) a tájra (a táj szerkezetére, használatára, jellegére és a tájképre) gyakorolt hatások ismert</w:t>
      </w:r>
      <w:r w:rsidRPr="00956508">
        <w:rPr>
          <w:rFonts w:ascii="Book Antiqua" w:hAnsi="Book Antiqua"/>
          <w:sz w:val="22"/>
        </w:rPr>
        <w:t>e</w:t>
      </w:r>
      <w:r w:rsidRPr="00956508">
        <w:rPr>
          <w:rFonts w:ascii="Book Antiqua" w:hAnsi="Book Antiqua"/>
          <w:sz w:val="22"/>
        </w:rPr>
        <w:t>tése,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ff</w:t>
      </w:r>
      <w:proofErr w:type="gramEnd"/>
      <w:r w:rsidRPr="00956508">
        <w:rPr>
          <w:rFonts w:ascii="Book Antiqua" w:hAnsi="Book Antiqua"/>
          <w:sz w:val="22"/>
        </w:rPr>
        <w:t>) a felszíni és felszín alatti víztesteket, valamint a vízgyűjtő-gazdálkodás egyes szabályairól szóló kormányrendelet szerinti, az ivóvízkivételre kijelölt és megkülönböztetett védelem alatt álló területeket érintő hatások a vízgyűjtő-gazdálkodási tervben foglaltak figyele</w:t>
      </w:r>
      <w:r w:rsidRPr="00956508">
        <w:rPr>
          <w:rFonts w:ascii="Book Antiqua" w:hAnsi="Book Antiqua"/>
          <w:sz w:val="22"/>
        </w:rPr>
        <w:t>m</w:t>
      </w:r>
      <w:r w:rsidRPr="00956508">
        <w:rPr>
          <w:rFonts w:ascii="Book Antiqua" w:hAnsi="Book Antiqua"/>
          <w:sz w:val="22"/>
        </w:rPr>
        <w:t>bevételével;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g)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 xml:space="preserve">az f) </w:t>
      </w:r>
      <w:proofErr w:type="gramStart"/>
      <w:r w:rsidRPr="00956508">
        <w:rPr>
          <w:rFonts w:ascii="Book Antiqua" w:hAnsi="Book Antiqua"/>
          <w:sz w:val="22"/>
        </w:rPr>
        <w:t>pont</w:t>
      </w:r>
      <w:proofErr w:type="gramEnd"/>
      <w:r w:rsidRPr="00956508">
        <w:rPr>
          <w:rFonts w:ascii="Book Antiqua" w:hAnsi="Book Antiqua"/>
          <w:sz w:val="22"/>
        </w:rPr>
        <w:t xml:space="preserve"> ff) alpontja alapján azonosított - a vizek állapotromlását okozó - kedvezőtlen környezeti hatások csökkentése érdekében javasolt intézkedések;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h</w:t>
      </w:r>
      <w:proofErr w:type="gramEnd"/>
      <w:r w:rsidRPr="00956508">
        <w:rPr>
          <w:rFonts w:ascii="Book Antiqua" w:hAnsi="Book Antiqua"/>
          <w:sz w:val="22"/>
        </w:rPr>
        <w:t>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az éghajlatváltozással összefüggésben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lastRenderedPageBreak/>
        <w:t>ha</w:t>
      </w:r>
      <w:proofErr w:type="gramEnd"/>
      <w:r w:rsidRPr="00956508">
        <w:rPr>
          <w:rFonts w:ascii="Book Antiqua" w:hAnsi="Book Antiqua"/>
          <w:sz w:val="22"/>
        </w:rPr>
        <w:t>) a b) pontban számításba vett változatoknak az éghajlatváltozással szembeni érzékenys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gére vonatkozó elemzése (a továbbiakban: érzékenységelemzés),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hb</w:t>
      </w:r>
      <w:proofErr w:type="spellEnd"/>
      <w:r w:rsidRPr="00956508">
        <w:rPr>
          <w:rFonts w:ascii="Book Antiqua" w:hAnsi="Book Antiqua"/>
          <w:sz w:val="22"/>
        </w:rPr>
        <w:t>) a telepítési hely és a feltételezhető hatásterület kitettségének értékelése,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hc</w:t>
      </w:r>
      <w:proofErr w:type="spellEnd"/>
      <w:r w:rsidRPr="00956508">
        <w:rPr>
          <w:rFonts w:ascii="Book Antiqua" w:hAnsi="Book Antiqua"/>
          <w:sz w:val="22"/>
        </w:rPr>
        <w:t>) az egyes éghajlati tényezőkre vonatkozóan a lehetséges hatások elemzése,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hd</w:t>
      </w:r>
      <w:proofErr w:type="spellEnd"/>
      <w:r w:rsidRPr="00956508">
        <w:rPr>
          <w:rFonts w:ascii="Book Antiqua" w:hAnsi="Book Antiqua"/>
          <w:sz w:val="22"/>
        </w:rPr>
        <w:t xml:space="preserve">) a </w:t>
      </w:r>
      <w:proofErr w:type="spellStart"/>
      <w:r w:rsidRPr="00956508">
        <w:rPr>
          <w:rFonts w:ascii="Book Antiqua" w:hAnsi="Book Antiqua"/>
          <w:sz w:val="22"/>
        </w:rPr>
        <w:t>hc</w:t>
      </w:r>
      <w:proofErr w:type="spellEnd"/>
      <w:r w:rsidRPr="00956508">
        <w:rPr>
          <w:rFonts w:ascii="Book Antiqua" w:hAnsi="Book Antiqua"/>
          <w:sz w:val="22"/>
        </w:rPr>
        <w:t>) pont szerint bemutatott lehetséges hatások vonatkozásában készített kockázatért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kelés,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he</w:t>
      </w:r>
      <w:proofErr w:type="gramEnd"/>
      <w:r w:rsidRPr="00956508">
        <w:rPr>
          <w:rFonts w:ascii="Book Antiqua" w:hAnsi="Book Antiqua"/>
          <w:sz w:val="22"/>
        </w:rPr>
        <w:t>) a tervezett tevékenységre vonatkozóan az éghajlatváltozás hatásaihoz való alkalmazk</w:t>
      </w:r>
      <w:r w:rsidRPr="00956508">
        <w:rPr>
          <w:rFonts w:ascii="Book Antiqua" w:hAnsi="Book Antiqua"/>
          <w:sz w:val="22"/>
        </w:rPr>
        <w:t>o</w:t>
      </w:r>
      <w:r w:rsidRPr="00956508">
        <w:rPr>
          <w:rFonts w:ascii="Book Antiqua" w:hAnsi="Book Antiqua"/>
          <w:sz w:val="22"/>
        </w:rPr>
        <w:t>dás bemutatása,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hf</w:t>
      </w:r>
      <w:proofErr w:type="spellEnd"/>
      <w:r w:rsidRPr="00956508">
        <w:rPr>
          <w:rFonts w:ascii="Book Antiqua" w:hAnsi="Book Antiqua"/>
          <w:sz w:val="22"/>
        </w:rPr>
        <w:t>) annak bemutatása, hogy a tervezett tevékenység hogyan hat a feltételezhető hatásterület éghajlatváltozáshoz való alkalmazkodási képességére;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hg</w:t>
      </w:r>
      <w:proofErr w:type="spellEnd"/>
      <w:r w:rsidRPr="00956508">
        <w:rPr>
          <w:rFonts w:ascii="Book Antiqua" w:hAnsi="Book Antiqua"/>
          <w:sz w:val="22"/>
        </w:rPr>
        <w:t>) az 1. számú mellékletbe tartozó tevékenységek esetén számszerűen be kell mutatni az egyes üvegházhatású gázok várható éves kibocsátását tonnában kifejezve;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i)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megalapozó információk bemutatása.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2. A csak a 2. számú mellékletbe tartozó tevékenységek esetén 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a</w:t>
      </w:r>
      <w:proofErr w:type="gramEnd"/>
      <w:r w:rsidRPr="00956508">
        <w:rPr>
          <w:rFonts w:ascii="Book Antiqua" w:hAnsi="Book Antiqua"/>
          <w:sz w:val="22"/>
        </w:rPr>
        <w:t>) a létesítmény, tevékenység telepítési helyének jellemzői,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b) a tervezett létesítmény, illetve tevékenység leírása, beleértve a telephelyen lévő műszak</w:t>
      </w:r>
      <w:r w:rsidRPr="00956508">
        <w:rPr>
          <w:rFonts w:ascii="Book Antiqua" w:hAnsi="Book Antiqua"/>
          <w:sz w:val="22"/>
        </w:rPr>
        <w:t>i</w:t>
      </w:r>
      <w:r w:rsidRPr="00956508">
        <w:rPr>
          <w:rFonts w:ascii="Book Antiqua" w:hAnsi="Book Antiqua"/>
          <w:sz w:val="22"/>
        </w:rPr>
        <w:t>lag kapcsolódó létesítményeket,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c) a tervezett létesítmény, illetve tevékenység 2. melléklet szerinti besorolása,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d) a létesítmény tervezett termelési kapacitása,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e</w:t>
      </w:r>
      <w:proofErr w:type="gramEnd"/>
      <w:r w:rsidRPr="00956508">
        <w:rPr>
          <w:rFonts w:ascii="Book Antiqua" w:hAnsi="Book Antiqua"/>
          <w:sz w:val="22"/>
        </w:rPr>
        <w:t>) az alkalmazandó technikák rövid ismertetése,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f</w:t>
      </w:r>
      <w:proofErr w:type="gramEnd"/>
      <w:r w:rsidRPr="00956508">
        <w:rPr>
          <w:rFonts w:ascii="Book Antiqua" w:hAnsi="Book Antiqua"/>
          <w:sz w:val="22"/>
        </w:rPr>
        <w:t>) a létesítmény várható környezeti hatásainak leírása,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g</w:t>
      </w:r>
      <w:proofErr w:type="gramEnd"/>
      <w:r w:rsidRPr="00956508">
        <w:rPr>
          <w:rFonts w:ascii="Book Antiqua" w:hAnsi="Book Antiqua"/>
          <w:sz w:val="22"/>
        </w:rPr>
        <w:t>) a létesítményben tervezett tevékenység hatásterületének meghatározása a szakterületi jogszabályok figyelembevételével, kiemelve az esetleges országhatáron átterjedő hatás</w:t>
      </w:r>
      <w:r w:rsidRPr="00956508">
        <w:rPr>
          <w:rFonts w:ascii="Book Antiqua" w:hAnsi="Book Antiqua"/>
          <w:sz w:val="22"/>
        </w:rPr>
        <w:t>o</w:t>
      </w:r>
      <w:r w:rsidRPr="00956508">
        <w:rPr>
          <w:rFonts w:ascii="Book Antiqua" w:hAnsi="Book Antiqua"/>
          <w:sz w:val="22"/>
        </w:rPr>
        <w:t>kat,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h</w:t>
      </w:r>
      <w:proofErr w:type="gramEnd"/>
      <w:r w:rsidRPr="00956508">
        <w:rPr>
          <w:rFonts w:ascii="Book Antiqua" w:hAnsi="Book Antiqua"/>
          <w:sz w:val="22"/>
        </w:rPr>
        <w:t>) az engedélykérő által tanulmányozott főbb alternatívák rövid leírása,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i) a nyilvánosság tájékoztatása érdekében esetlegesen megtett intézkedések bemutatása és a vélemények összefoglalása,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j)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 xml:space="preserve">ha a létesítmény a Natura 2000 területre hatással lehet, a hatások előzetes becslése a terület kijelölésének alapjául szolgáló fajokra és </w:t>
      </w:r>
      <w:proofErr w:type="spellStart"/>
      <w:r w:rsidRPr="00956508">
        <w:rPr>
          <w:rFonts w:ascii="Book Antiqua" w:hAnsi="Book Antiqua"/>
          <w:sz w:val="22"/>
        </w:rPr>
        <w:t>élőhelytípusokra</w:t>
      </w:r>
      <w:proofErr w:type="spellEnd"/>
      <w:r w:rsidRPr="00956508">
        <w:rPr>
          <w:rFonts w:ascii="Book Antiqua" w:hAnsi="Book Antiqua"/>
          <w:sz w:val="22"/>
        </w:rPr>
        <w:t xml:space="preserve"> gyakorolt hatások figyelemb</w:t>
      </w:r>
      <w:r w:rsidRPr="00956508">
        <w:rPr>
          <w:rFonts w:ascii="Book Antiqua" w:hAnsi="Book Antiqua"/>
          <w:sz w:val="22"/>
        </w:rPr>
        <w:t>e</w:t>
      </w:r>
      <w:r w:rsidRPr="00956508">
        <w:rPr>
          <w:rFonts w:ascii="Book Antiqua" w:hAnsi="Book Antiqua"/>
          <w:sz w:val="22"/>
        </w:rPr>
        <w:t>vételével.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3. Az 1-3. számú mellékletbe tartozó tevékenységek dokumentációjának egyéb (közös) köv</w:t>
      </w:r>
      <w:r w:rsidRPr="00956508">
        <w:rPr>
          <w:rFonts w:ascii="Book Antiqua" w:hAnsi="Book Antiqua"/>
          <w:sz w:val="22"/>
        </w:rPr>
        <w:t>e</w:t>
      </w:r>
      <w:r w:rsidR="00F31AA4">
        <w:rPr>
          <w:rFonts w:ascii="Book Antiqua" w:hAnsi="Book Antiqua"/>
          <w:sz w:val="22"/>
        </w:rPr>
        <w:t>telményei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a</w:t>
      </w:r>
      <w:proofErr w:type="gramEnd"/>
      <w:r w:rsidRPr="00956508">
        <w:rPr>
          <w:rFonts w:ascii="Book Antiqua" w:hAnsi="Book Antiqua"/>
          <w:sz w:val="22"/>
        </w:rPr>
        <w:t>) az engedélykérő azonosító adatai;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b)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minősített adatot, vagy a környezethasználó szerint üzleti titkot képező adatot, így megj</w:t>
      </w:r>
      <w:r w:rsidRPr="00956508">
        <w:rPr>
          <w:rFonts w:ascii="Book Antiqua" w:hAnsi="Book Antiqua"/>
          <w:sz w:val="22"/>
        </w:rPr>
        <w:t>e</w:t>
      </w:r>
      <w:r w:rsidRPr="00956508">
        <w:rPr>
          <w:rFonts w:ascii="Book Antiqua" w:hAnsi="Book Antiqua"/>
          <w:sz w:val="22"/>
        </w:rPr>
        <w:t>lölve, elkülönítve kell ismertetni a dokumentációban és a nyilvánosságra hozandó részben ezeket az adatokat olyan információkkal kell helyettesíteni, amelyek a tevékenység me</w:t>
      </w:r>
      <w:r w:rsidRPr="00956508">
        <w:rPr>
          <w:rFonts w:ascii="Book Antiqua" w:hAnsi="Book Antiqua"/>
          <w:sz w:val="22"/>
        </w:rPr>
        <w:t>g</w:t>
      </w:r>
      <w:r w:rsidRPr="00956508">
        <w:rPr>
          <w:rFonts w:ascii="Book Antiqua" w:hAnsi="Book Antiqua"/>
          <w:sz w:val="22"/>
        </w:rPr>
        <w:t>ítélést lehetővé teszik;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c) ha a tevékenység során alkalmazandó technológia, felhasználandó anyagok és előállítandó termék környezetvédelmi minősítése korábban már megtörtént, a vonatkozó minősítési okiratot (okiratokat) csatolni kell;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d) országhatáron átterjedő környezeti hatás bekövetkezésének lehetősége;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e</w:t>
      </w:r>
      <w:proofErr w:type="gramEnd"/>
      <w:r w:rsidRPr="00956508">
        <w:rPr>
          <w:rFonts w:ascii="Book Antiqua" w:hAnsi="Book Antiqua"/>
          <w:sz w:val="22"/>
        </w:rPr>
        <w:t>)</w:t>
      </w:r>
      <w:r w:rsidR="00F31AA4"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Ha az előzetes vizsgálatra erdő igénybevételével járó beruházáshoz vagy tevékenységhez kapcsolódóan kerül sor, és korábban az erdészeti hatóság igénybevételi vagy elvi igén</w:t>
      </w:r>
      <w:r w:rsidRPr="00956508">
        <w:rPr>
          <w:rFonts w:ascii="Book Antiqua" w:hAnsi="Book Antiqua"/>
          <w:sz w:val="22"/>
        </w:rPr>
        <w:t>y</w:t>
      </w:r>
      <w:r w:rsidRPr="00956508">
        <w:rPr>
          <w:rFonts w:ascii="Book Antiqua" w:hAnsi="Book Antiqua"/>
          <w:sz w:val="22"/>
        </w:rPr>
        <w:t>bevételi eljárása nem került lefolytatásra, az előzetes vizsgálatra vonatkozó kérelemhez csatolni kell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lastRenderedPageBreak/>
        <w:t>ea</w:t>
      </w:r>
      <w:proofErr w:type="spellEnd"/>
      <w:r w:rsidRPr="00956508">
        <w:rPr>
          <w:rFonts w:ascii="Book Antiqua" w:hAnsi="Book Antiqua"/>
          <w:sz w:val="22"/>
        </w:rPr>
        <w:t xml:space="preserve">) a tervezett igénybevétellel érintett erdő ingatlan-nyilvántartás (helység, fekvés, helyrajzi szám, </w:t>
      </w:r>
      <w:proofErr w:type="spellStart"/>
      <w:r w:rsidRPr="00956508">
        <w:rPr>
          <w:rFonts w:ascii="Book Antiqua" w:hAnsi="Book Antiqua"/>
          <w:sz w:val="22"/>
        </w:rPr>
        <w:t>alrészletjel</w:t>
      </w:r>
      <w:proofErr w:type="spellEnd"/>
      <w:r w:rsidRPr="00956508">
        <w:rPr>
          <w:rFonts w:ascii="Book Antiqua" w:hAnsi="Book Antiqua"/>
          <w:sz w:val="22"/>
        </w:rPr>
        <w:t>) és erdészeti hatósági nyilvántartás szerinti (helység, tagszám, részlet jel) területazonosító adatait,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eb</w:t>
      </w:r>
      <w:proofErr w:type="gramEnd"/>
      <w:r w:rsidRPr="00956508">
        <w:rPr>
          <w:rFonts w:ascii="Book Antiqua" w:hAnsi="Book Antiqua"/>
          <w:sz w:val="22"/>
        </w:rPr>
        <w:t xml:space="preserve">) a tervezett igénybevétel területét föld-, illetve </w:t>
      </w:r>
      <w:proofErr w:type="spellStart"/>
      <w:r w:rsidRPr="00956508">
        <w:rPr>
          <w:rFonts w:ascii="Book Antiqua" w:hAnsi="Book Antiqua"/>
          <w:sz w:val="22"/>
        </w:rPr>
        <w:t>alrészletenként</w:t>
      </w:r>
      <w:proofErr w:type="spellEnd"/>
      <w:r w:rsidRPr="00956508">
        <w:rPr>
          <w:rFonts w:ascii="Book Antiqua" w:hAnsi="Book Antiqua"/>
          <w:sz w:val="22"/>
        </w:rPr>
        <w:t xml:space="preserve"> kéttized hektáros ponto</w:t>
      </w:r>
      <w:r w:rsidRPr="00956508">
        <w:rPr>
          <w:rFonts w:ascii="Book Antiqua" w:hAnsi="Book Antiqua"/>
          <w:sz w:val="22"/>
        </w:rPr>
        <w:t>s</w:t>
      </w:r>
      <w:r w:rsidRPr="00956508">
        <w:rPr>
          <w:rFonts w:ascii="Book Antiqua" w:hAnsi="Book Antiqua"/>
          <w:sz w:val="22"/>
        </w:rPr>
        <w:t>sággal,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ec</w:t>
      </w:r>
      <w:proofErr w:type="spellEnd"/>
      <w:r w:rsidRPr="00956508">
        <w:rPr>
          <w:rFonts w:ascii="Book Antiqua" w:hAnsi="Book Antiqua"/>
          <w:sz w:val="22"/>
        </w:rPr>
        <w:t>) az igénybevételre tervezett terület beazonosítására alkalmas legfeljebb 1:10 000 méretar</w:t>
      </w:r>
      <w:r w:rsidRPr="00956508">
        <w:rPr>
          <w:rFonts w:ascii="Book Antiqua" w:hAnsi="Book Antiqua"/>
          <w:sz w:val="22"/>
        </w:rPr>
        <w:t>á</w:t>
      </w:r>
      <w:r w:rsidRPr="00956508">
        <w:rPr>
          <w:rFonts w:ascii="Book Antiqua" w:hAnsi="Book Antiqua"/>
          <w:sz w:val="22"/>
        </w:rPr>
        <w:t>nyú helyszínrajzot,</w:t>
      </w:r>
    </w:p>
    <w:p w:rsidR="00956508" w:rsidRPr="00956508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ed</w:t>
      </w:r>
      <w:proofErr w:type="spellEnd"/>
      <w:r w:rsidRPr="00956508">
        <w:rPr>
          <w:rFonts w:ascii="Book Antiqua" w:hAnsi="Book Antiqua"/>
          <w:sz w:val="22"/>
        </w:rPr>
        <w:t>) érintettség esetén a csereerdősítésre tervezett terület megjelölését és</w:t>
      </w:r>
    </w:p>
    <w:p w:rsidR="0079395B" w:rsidRPr="005C1257" w:rsidRDefault="00956508" w:rsidP="00F31A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ee</w:t>
      </w:r>
      <w:proofErr w:type="spellEnd"/>
      <w:r w:rsidRPr="00956508">
        <w:rPr>
          <w:rFonts w:ascii="Book Antiqua" w:hAnsi="Book Antiqua"/>
          <w:sz w:val="22"/>
        </w:rPr>
        <w:t>) a tervezett igénybevétel közérdekkel való összhangjának indokolását.</w:t>
      </w:r>
    </w:p>
    <w:sectPr w:rsidR="0079395B" w:rsidRPr="005C1257" w:rsidSect="00BF61AF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C9" w:rsidRDefault="009756C9" w:rsidP="008F4E60">
      <w:pPr>
        <w:spacing w:after="0" w:line="240" w:lineRule="auto"/>
      </w:pPr>
      <w:r>
        <w:separator/>
      </w:r>
    </w:p>
  </w:endnote>
  <w:endnote w:type="continuationSeparator" w:id="0">
    <w:p w:rsidR="009756C9" w:rsidRDefault="009756C9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AA3CDC" w:rsidRDefault="002F0073" w:rsidP="00AA3CDC">
    <w:pPr>
      <w:pStyle w:val="llb"/>
      <w:jc w:val="center"/>
      <w:rPr>
        <w:rFonts w:ascii="Century Gothic" w:hAnsi="Century Gothic"/>
        <w:noProof/>
        <w:sz w:val="16"/>
        <w:szCs w:val="16"/>
      </w:rPr>
    </w:pPr>
    <w:r w:rsidRPr="00BF61AF">
      <w:rPr>
        <w:rFonts w:ascii="Century Gothic" w:hAnsi="Century Gothic"/>
        <w:noProof/>
        <w:sz w:val="16"/>
        <w:szCs w:val="16"/>
      </w:rPr>
      <w:fldChar w:fldCharType="begin"/>
    </w:r>
    <w:r w:rsidR="009F7AFD" w:rsidRPr="00BF61AF">
      <w:rPr>
        <w:rFonts w:ascii="Century Gothic" w:hAnsi="Century Gothic"/>
        <w:noProof/>
        <w:sz w:val="16"/>
        <w:szCs w:val="16"/>
      </w:rPr>
      <w:instrText xml:space="preserve"> PAGE   \* MERGEFORMAT </w:instrText>
    </w:r>
    <w:r w:rsidRPr="00BF61AF">
      <w:rPr>
        <w:rFonts w:ascii="Century Gothic" w:hAnsi="Century Gothic"/>
        <w:noProof/>
        <w:sz w:val="16"/>
        <w:szCs w:val="16"/>
      </w:rPr>
      <w:fldChar w:fldCharType="separate"/>
    </w:r>
    <w:r w:rsidR="00143EFE">
      <w:rPr>
        <w:rFonts w:ascii="Century Gothic" w:hAnsi="Century Gothic"/>
        <w:noProof/>
        <w:sz w:val="16"/>
        <w:szCs w:val="16"/>
      </w:rPr>
      <w:t>4</w:t>
    </w:r>
    <w:r w:rsidRPr="00BF61AF">
      <w:rPr>
        <w:rFonts w:ascii="Century Gothic" w:hAnsi="Century Gothic"/>
        <w:noProof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C50BF4" w:rsidRDefault="009F7AFD" w:rsidP="0057153E">
    <w:pPr>
      <w:pStyle w:val="llb"/>
      <w:jc w:val="center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C9" w:rsidRDefault="009756C9" w:rsidP="008F4E60">
      <w:pPr>
        <w:spacing w:after="0" w:line="240" w:lineRule="auto"/>
      </w:pPr>
      <w:r>
        <w:separator/>
      </w:r>
    </w:p>
  </w:footnote>
  <w:footnote w:type="continuationSeparator" w:id="0">
    <w:p w:rsidR="009756C9" w:rsidRDefault="009756C9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3EFE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2F0073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31491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0292"/>
    <w:rsid w:val="0079395B"/>
    <w:rsid w:val="00797A9F"/>
    <w:rsid w:val="007A582D"/>
    <w:rsid w:val="007A63AE"/>
    <w:rsid w:val="007B2B01"/>
    <w:rsid w:val="007C0C4C"/>
    <w:rsid w:val="007C3226"/>
    <w:rsid w:val="007C6CC1"/>
    <w:rsid w:val="007E11F6"/>
    <w:rsid w:val="007E472B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6EA0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56508"/>
    <w:rsid w:val="009634DD"/>
    <w:rsid w:val="0096750F"/>
    <w:rsid w:val="0097318E"/>
    <w:rsid w:val="00975312"/>
    <w:rsid w:val="009756C9"/>
    <w:rsid w:val="009939BA"/>
    <w:rsid w:val="00994556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290E"/>
    <w:rsid w:val="00C9767B"/>
    <w:rsid w:val="00CA1B8B"/>
    <w:rsid w:val="00CA2BBD"/>
    <w:rsid w:val="00CA36A1"/>
    <w:rsid w:val="00CB185C"/>
    <w:rsid w:val="00CB5CE6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00939"/>
    <w:rsid w:val="00E01BC3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B2001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31AA4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F229D-8ECB-41E6-A4D0-DD89A732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2</cp:revision>
  <dcterms:created xsi:type="dcterms:W3CDTF">2021-08-18T12:40:00Z</dcterms:created>
  <dcterms:modified xsi:type="dcterms:W3CDTF">2021-08-18T12:40:00Z</dcterms:modified>
</cp:coreProperties>
</file>