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57" w:rsidRPr="00C54057" w:rsidRDefault="00C54057" w:rsidP="00C54057">
      <w:pPr>
        <w:pBdr>
          <w:bottom w:val="dashed" w:sz="4" w:space="0" w:color="CECF8F"/>
        </w:pBdr>
        <w:shd w:val="clear" w:color="auto" w:fill="FEFEF2"/>
        <w:spacing w:before="120" w:after="24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7371E"/>
          <w:kern w:val="36"/>
          <w:sz w:val="41"/>
          <w:szCs w:val="41"/>
          <w:lang w:eastAsia="hu-HU"/>
        </w:rPr>
      </w:pPr>
      <w:r w:rsidRPr="00C54057">
        <w:rPr>
          <w:rFonts w:ascii="Georgia" w:eastAsia="Times New Roman" w:hAnsi="Georgia" w:cs="Times New Roman"/>
          <w:b/>
          <w:bCs/>
          <w:color w:val="37371E"/>
          <w:kern w:val="36"/>
          <w:sz w:val="41"/>
          <w:szCs w:val="41"/>
          <w:lang w:eastAsia="hu-HU"/>
        </w:rPr>
        <w:t>Tájékoztató a védendő fogyasztókat megillető kedvezményekről</w:t>
      </w:r>
    </w:p>
    <w:p w:rsidR="00C54057" w:rsidRPr="00C54057" w:rsidRDefault="00C54057" w:rsidP="00C54057">
      <w:pPr>
        <w:shd w:val="clear" w:color="auto" w:fill="FEFEF2"/>
        <w:spacing w:after="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>A lakhatás megőrzése érdekében a legnehezebb anyagi körülmények között élők speciális védelemben részesülnek az energiaszolgáltatás területén, a villamos energia illetve a gázszolgáltatás tekintetében.</w:t>
      </w:r>
    </w:p>
    <w:p w:rsidR="00C54057" w:rsidRPr="00C54057" w:rsidRDefault="00C54057" w:rsidP="00C54057">
      <w:pPr>
        <w:shd w:val="clear" w:color="auto" w:fill="FEFEF2"/>
        <w:spacing w:before="120" w:after="12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>Ezen belül két kategóriát - a szociálisan rászoruló és a fogyatékossággal élő fogyasztók csoportját - különítenek el a jogszabályok:</w:t>
      </w:r>
    </w:p>
    <w:p w:rsidR="00C54057" w:rsidRPr="00C54057" w:rsidRDefault="00C54057" w:rsidP="00C54057">
      <w:pPr>
        <w:shd w:val="clear" w:color="auto" w:fill="FEFEF2"/>
        <w:spacing w:after="0" w:line="205" w:lineRule="atLeast"/>
        <w:ind w:left="120"/>
        <w:jc w:val="both"/>
        <w:rPr>
          <w:rFonts w:ascii="Book Antiqua" w:eastAsia="Times New Roman" w:hAnsi="Book Antiqua" w:cs="Times New Roman"/>
          <w:b/>
          <w:bCs/>
          <w:color w:val="4F4F2B"/>
          <w:u w:val="single"/>
          <w:lang w:eastAsia="hu-HU"/>
        </w:rPr>
      </w:pPr>
    </w:p>
    <w:p w:rsidR="00C54057" w:rsidRPr="00C54057" w:rsidRDefault="00C54057" w:rsidP="00C54057">
      <w:pPr>
        <w:shd w:val="clear" w:color="auto" w:fill="FEFEF2"/>
        <w:spacing w:after="0" w:line="205" w:lineRule="atLeast"/>
        <w:ind w:left="12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b/>
          <w:bCs/>
          <w:color w:val="4F4F2B"/>
          <w:u w:val="single"/>
          <w:lang w:eastAsia="hu-HU"/>
        </w:rPr>
        <w:t>Fogyatékossággal élő fogyasztónak</w:t>
      </w:r>
      <w:r w:rsidRPr="00C54057">
        <w:rPr>
          <w:rFonts w:ascii="Book Antiqua" w:eastAsia="Times New Roman" w:hAnsi="Book Antiqua" w:cs="Times New Roman"/>
          <w:color w:val="4F4F2B"/>
          <w:lang w:eastAsia="hu-HU"/>
        </w:rPr>
        <w:t> minősül az, aki</w:t>
      </w:r>
    </w:p>
    <w:p w:rsidR="00C54057" w:rsidRPr="00C54057" w:rsidRDefault="00C54057" w:rsidP="00C54057">
      <w:pPr>
        <w:numPr>
          <w:ilvl w:val="0"/>
          <w:numId w:val="1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fogyatékossági támogatásban részesül,</w:t>
      </w:r>
    </w:p>
    <w:p w:rsidR="00C54057" w:rsidRPr="00C54057" w:rsidRDefault="00C54057" w:rsidP="00C54057">
      <w:pPr>
        <w:numPr>
          <w:ilvl w:val="0"/>
          <w:numId w:val="1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vakok személyi járadékában részesül,</w:t>
      </w:r>
    </w:p>
    <w:p w:rsidR="00C54057" w:rsidRDefault="00C54057" w:rsidP="00C54057">
      <w:pPr>
        <w:numPr>
          <w:ilvl w:val="0"/>
          <w:numId w:val="1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(vagy aki után szülője vagy eltartója) magasabb összegű családi pótlékban részesül.</w:t>
      </w:r>
    </w:p>
    <w:p w:rsidR="003217D4" w:rsidRPr="00C54057" w:rsidRDefault="003217D4" w:rsidP="003217D4">
      <w:p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</w:p>
    <w:p w:rsidR="00C54057" w:rsidRPr="00C54057" w:rsidRDefault="00C54057" w:rsidP="00C54057">
      <w:pPr>
        <w:shd w:val="clear" w:color="auto" w:fill="FEFEF2"/>
        <w:spacing w:after="0" w:line="205" w:lineRule="atLeast"/>
        <w:ind w:left="12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3217D4">
        <w:rPr>
          <w:rFonts w:ascii="Book Antiqua" w:eastAsia="Times New Roman" w:hAnsi="Book Antiqua" w:cs="Times New Roman"/>
          <w:bCs/>
          <w:color w:val="4F4F2B"/>
          <w:lang w:eastAsia="hu-HU"/>
        </w:rPr>
        <w:t>Igénybe vehető kedvezmények:</w:t>
      </w:r>
    </w:p>
    <w:p w:rsidR="00C54057" w:rsidRPr="00C54057" w:rsidRDefault="00C54057" w:rsidP="00C54057">
      <w:pPr>
        <w:numPr>
          <w:ilvl w:val="0"/>
          <w:numId w:val="2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különleges bánásmód a méréssel, leolvasással, számlázással, díjfizetéssel kapcsolatban (pl. készpénzben történő számlakiegyenlítés a felhasználási helyen, az általánostól eltérő mérőhely-kialakítás, a számla értelmezéséhez nyújtott egyedi segítség stb.) - csak akkor, ha nincs a háztartásban fogyatékossággal élőnek nem minősülő személy</w:t>
      </w:r>
    </w:p>
    <w:p w:rsidR="00C54057" w:rsidRPr="00C54057" w:rsidRDefault="00C54057" w:rsidP="00C54057">
      <w:pPr>
        <w:numPr>
          <w:ilvl w:val="0"/>
          <w:numId w:val="2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szükségáramforrás (a tervezett üzemszünet idejére), illetve szünetmentes áramforrás (váratlan üzemzavar következményeinek megelőzése céljából)</w:t>
      </w:r>
    </w:p>
    <w:p w:rsidR="00C54057" w:rsidRPr="00C54057" w:rsidRDefault="00C54057" w:rsidP="00C54057">
      <w:pPr>
        <w:shd w:val="clear" w:color="auto" w:fill="FEFEF2"/>
        <w:spacing w:before="120" w:after="12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 xml:space="preserve">A "kikapcsolási védelem" és - ennek következtében - az előrefizető mérő ezen </w:t>
      </w:r>
      <w:proofErr w:type="gramStart"/>
      <w:r w:rsidRPr="00C54057">
        <w:rPr>
          <w:rFonts w:ascii="Book Antiqua" w:eastAsia="Times New Roman" w:hAnsi="Book Antiqua" w:cs="Times New Roman"/>
          <w:color w:val="4F4F2B"/>
          <w:lang w:eastAsia="hu-HU"/>
        </w:rPr>
        <w:t>fogyasztókat</w:t>
      </w:r>
      <w:proofErr w:type="gramEnd"/>
      <w:r w:rsidRPr="00C54057">
        <w:rPr>
          <w:rFonts w:ascii="Book Antiqua" w:eastAsia="Times New Roman" w:hAnsi="Book Antiqua" w:cs="Times New Roman"/>
          <w:color w:val="4F4F2B"/>
          <w:lang w:eastAsia="hu-HU"/>
        </w:rPr>
        <w:t xml:space="preserve"> is megilleti, a szociálisan rászoruló fogyasztóknál részletezett feltételekkel.</w:t>
      </w:r>
    </w:p>
    <w:p w:rsidR="00C54057" w:rsidRPr="00C54057" w:rsidRDefault="00C54057" w:rsidP="00C54057">
      <w:pPr>
        <w:shd w:val="clear" w:color="auto" w:fill="FEFEF2"/>
        <w:spacing w:after="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>Az igénylés alapvető feltétele, hogy a szolgáltató az érintett fogyasztót - kérelmére - </w:t>
      </w:r>
      <w:r w:rsidRPr="00C54057">
        <w:rPr>
          <w:rFonts w:ascii="Book Antiqua" w:eastAsia="Times New Roman" w:hAnsi="Book Antiqua" w:cs="Times New Roman"/>
          <w:b/>
          <w:bCs/>
          <w:color w:val="4F4F2B"/>
          <w:lang w:eastAsia="hu-HU"/>
        </w:rPr>
        <w:t>nyilvántartásába felvegye</w:t>
      </w:r>
      <w:r w:rsidRPr="00C54057">
        <w:rPr>
          <w:rFonts w:ascii="Book Antiqua" w:eastAsia="Times New Roman" w:hAnsi="Book Antiqua" w:cs="Times New Roman"/>
          <w:color w:val="4F4F2B"/>
          <w:lang w:eastAsia="hu-HU"/>
        </w:rPr>
        <w:t>. Ehhez az alábbi lépések szükségesek:</w:t>
      </w:r>
    </w:p>
    <w:p w:rsidR="00C54057" w:rsidRPr="00C54057" w:rsidRDefault="00C54057" w:rsidP="00C54057">
      <w:pPr>
        <w:numPr>
          <w:ilvl w:val="0"/>
          <w:numId w:val="3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a regisztrációhoz szükséges adatlap fogyasztóra vonatkozó részének kitöltése és aláírása;</w:t>
      </w:r>
    </w:p>
    <w:p w:rsidR="00C54057" w:rsidRPr="00C54057" w:rsidRDefault="00C54057" w:rsidP="00C54057">
      <w:pPr>
        <w:numPr>
          <w:ilvl w:val="0"/>
          <w:numId w:val="3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b/>
          <w:color w:val="37371E"/>
          <w:u w:val="single"/>
          <w:lang w:eastAsia="hu-HU"/>
        </w:rPr>
      </w:pPr>
      <w:r w:rsidRPr="00C54057">
        <w:rPr>
          <w:rFonts w:ascii="Book Antiqua" w:eastAsia="Times New Roman" w:hAnsi="Book Antiqua" w:cs="Times New Roman"/>
          <w:b/>
          <w:color w:val="37371E"/>
          <w:u w:val="single"/>
          <w:lang w:eastAsia="hu-HU"/>
        </w:rPr>
        <w:t>az adatlapot ki kell töltetni a védelemre jogosító ellátást megállapító igazgatási szervvel is (</w:t>
      </w:r>
      <w:r w:rsidRPr="003217D4">
        <w:rPr>
          <w:rFonts w:ascii="Book Antiqua" w:eastAsia="Times New Roman" w:hAnsi="Book Antiqua" w:cs="Times New Roman"/>
          <w:b/>
          <w:color w:val="37371E"/>
          <w:u w:val="single"/>
          <w:lang w:eastAsia="hu-HU"/>
        </w:rPr>
        <w:t>illetékes vármegyei kormányhivatal családtámogatási hatósága</w:t>
      </w:r>
      <w:r w:rsidRPr="00C54057">
        <w:rPr>
          <w:rFonts w:ascii="Book Antiqua" w:eastAsia="Times New Roman" w:hAnsi="Book Antiqua" w:cs="Times New Roman"/>
          <w:b/>
          <w:color w:val="37371E"/>
          <w:u w:val="single"/>
          <w:lang w:eastAsia="hu-HU"/>
        </w:rPr>
        <w:t>);</w:t>
      </w:r>
    </w:p>
    <w:p w:rsidR="00C54057" w:rsidRPr="00C54057" w:rsidRDefault="00C54057" w:rsidP="00C54057">
      <w:pPr>
        <w:numPr>
          <w:ilvl w:val="0"/>
          <w:numId w:val="3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a kitöltött és aláírt adatlapot a kiállításától számított 30 napon belül be kell nyújtani a szolgáltató ügyfélszolgálatára, aki 8 napon belül köteles a regisztrációt megtenni.</w:t>
      </w:r>
    </w:p>
    <w:p w:rsidR="00C54057" w:rsidRPr="00C54057" w:rsidRDefault="00C54057" w:rsidP="00C54057">
      <w:pPr>
        <w:shd w:val="clear" w:color="auto" w:fill="FEFEF2"/>
        <w:spacing w:before="120" w:after="12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 xml:space="preserve">A védettséggel járó jogokat csak egy felhasználási helyen lehet gyakorolni, a védendő státusz alapjául szolgáló ok fennállását pedig minden év március 31-ig ismételten igazolni kell (az ehhez szükséges adatlapot a szolgáltató megküldi az érintettnek). </w:t>
      </w:r>
    </w:p>
    <w:p w:rsidR="00C54057" w:rsidRPr="00C54057" w:rsidRDefault="00C54057" w:rsidP="00C54057">
      <w:pPr>
        <w:shd w:val="clear" w:color="auto" w:fill="FEFEF2"/>
        <w:spacing w:after="0" w:line="205" w:lineRule="atLeast"/>
        <w:ind w:left="120" w:firstLine="36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>A nyilvántartásba vételhez, illetve annak meghosszabbításához használatos </w:t>
      </w:r>
      <w:r w:rsidRPr="00C54057">
        <w:rPr>
          <w:rFonts w:ascii="Book Antiqua" w:eastAsia="Times New Roman" w:hAnsi="Book Antiqua" w:cs="Times New Roman"/>
          <w:b/>
          <w:bCs/>
          <w:color w:val="4F4F2B"/>
          <w:lang w:eastAsia="hu-HU"/>
        </w:rPr>
        <w:t xml:space="preserve">adatlap </w:t>
      </w:r>
      <w:r w:rsidRPr="003217D4">
        <w:rPr>
          <w:rFonts w:ascii="Book Antiqua" w:eastAsia="Times New Roman" w:hAnsi="Book Antiqua" w:cs="Times New Roman"/>
          <w:bCs/>
          <w:color w:val="4F4F2B"/>
          <w:lang w:eastAsia="hu-HU"/>
        </w:rPr>
        <w:t>hozzáférhető</w:t>
      </w:r>
      <w:r w:rsidRPr="00C54057">
        <w:rPr>
          <w:rFonts w:ascii="Book Antiqua" w:eastAsia="Times New Roman" w:hAnsi="Book Antiqua" w:cs="Times New Roman"/>
          <w:color w:val="4F4F2B"/>
          <w:lang w:eastAsia="hu-HU"/>
        </w:rPr>
        <w:t> a</w:t>
      </w:r>
      <w:r>
        <w:rPr>
          <w:rFonts w:ascii="Book Antiqua" w:eastAsia="Times New Roman" w:hAnsi="Book Antiqua" w:cs="Times New Roman"/>
          <w:color w:val="4F4F2B"/>
          <w:lang w:eastAsia="hu-HU"/>
        </w:rPr>
        <w:t>z energia</w:t>
      </w:r>
      <w:r w:rsidRPr="00C54057">
        <w:rPr>
          <w:rFonts w:ascii="Book Antiqua" w:eastAsia="Times New Roman" w:hAnsi="Book Antiqua" w:cs="Times New Roman"/>
          <w:color w:val="4F4F2B"/>
          <w:lang w:eastAsia="hu-HU"/>
        </w:rPr>
        <w:t>szolgáltatók ügyfélszolgálatain, letölthető honlapjukról.</w:t>
      </w:r>
    </w:p>
    <w:p w:rsidR="00C54057" w:rsidRPr="00C54057" w:rsidRDefault="00C54057" w:rsidP="00C54057">
      <w:pPr>
        <w:shd w:val="clear" w:color="auto" w:fill="FEFEF2"/>
        <w:spacing w:before="120" w:after="120" w:line="205" w:lineRule="atLeast"/>
        <w:ind w:left="120"/>
        <w:jc w:val="both"/>
        <w:rPr>
          <w:rFonts w:ascii="Book Antiqua" w:eastAsia="Times New Roman" w:hAnsi="Book Antiqua" w:cs="Times New Roman"/>
          <w:color w:val="4F4F2B"/>
          <w:lang w:eastAsia="hu-HU"/>
        </w:rPr>
      </w:pPr>
      <w:r w:rsidRPr="00C54057">
        <w:rPr>
          <w:rFonts w:ascii="Book Antiqua" w:eastAsia="Times New Roman" w:hAnsi="Book Antiqua" w:cs="Times New Roman"/>
          <w:color w:val="4F4F2B"/>
          <w:lang w:eastAsia="hu-HU"/>
        </w:rPr>
        <w:t>Jogszabályi háttér:</w:t>
      </w:r>
    </w:p>
    <w:p w:rsidR="00C54057" w:rsidRPr="00C54057" w:rsidRDefault="00C54057" w:rsidP="00C54057">
      <w:pPr>
        <w:numPr>
          <w:ilvl w:val="0"/>
          <w:numId w:val="4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2007. évi LXXXVI. törvény a villamos energiáról (64-65. §) és végrehajtási rendelete: 273/2007. (X. 19.) Korm. rendelet (30-37. §)</w:t>
      </w:r>
    </w:p>
    <w:p w:rsidR="00C54057" w:rsidRPr="00C54057" w:rsidRDefault="00C54057" w:rsidP="00C54057">
      <w:pPr>
        <w:numPr>
          <w:ilvl w:val="0"/>
          <w:numId w:val="4"/>
        </w:numPr>
        <w:shd w:val="clear" w:color="auto" w:fill="FEFEF2"/>
        <w:spacing w:after="0" w:line="205" w:lineRule="atLeast"/>
        <w:ind w:left="840"/>
        <w:rPr>
          <w:rFonts w:ascii="Book Antiqua" w:eastAsia="Times New Roman" w:hAnsi="Book Antiqua" w:cs="Times New Roman"/>
          <w:color w:val="37371E"/>
          <w:lang w:eastAsia="hu-HU"/>
        </w:rPr>
      </w:pPr>
      <w:r w:rsidRPr="00C54057">
        <w:rPr>
          <w:rFonts w:ascii="Book Antiqua" w:eastAsia="Times New Roman" w:hAnsi="Book Antiqua" w:cs="Times New Roman"/>
          <w:color w:val="37371E"/>
          <w:lang w:eastAsia="hu-HU"/>
        </w:rPr>
        <w:t>2008. évi XL. törvény a földgázellátásról (65-66. §) és végrehajtási rendelete: 19/2009. (I.30.) Korm. rendelet (56-62. §)</w:t>
      </w:r>
    </w:p>
    <w:p w:rsidR="00E05062" w:rsidRPr="00C54057" w:rsidRDefault="00E05062">
      <w:pPr>
        <w:rPr>
          <w:rFonts w:ascii="Book Antiqua" w:hAnsi="Book Antiqua"/>
        </w:rPr>
      </w:pPr>
    </w:p>
    <w:sectPr w:rsidR="00E05062" w:rsidRPr="00C54057" w:rsidSect="00E0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B87"/>
    <w:multiLevelType w:val="multilevel"/>
    <w:tmpl w:val="86143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23159"/>
    <w:multiLevelType w:val="multilevel"/>
    <w:tmpl w:val="B5C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12E0"/>
    <w:multiLevelType w:val="multilevel"/>
    <w:tmpl w:val="79D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8E6127"/>
    <w:multiLevelType w:val="multilevel"/>
    <w:tmpl w:val="9B92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8B0D82"/>
    <w:multiLevelType w:val="multilevel"/>
    <w:tmpl w:val="E73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4057"/>
    <w:rsid w:val="003217D4"/>
    <w:rsid w:val="00895226"/>
    <w:rsid w:val="00BA15F2"/>
    <w:rsid w:val="00C54057"/>
    <w:rsid w:val="00E0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062"/>
  </w:style>
  <w:style w:type="paragraph" w:styleId="Cmsor1">
    <w:name w:val="heading 1"/>
    <w:basedOn w:val="Norml"/>
    <w:link w:val="Cmsor1Char"/>
    <w:uiPriority w:val="9"/>
    <w:qFormat/>
    <w:rsid w:val="00C54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405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54057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5405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72">
          <w:marLeft w:val="0"/>
          <w:marRight w:val="0"/>
          <w:marTop w:val="0"/>
          <w:marBottom w:val="0"/>
          <w:divBdr>
            <w:top w:val="dashed" w:sz="4" w:space="12" w:color="CECF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szucsikh</dc:creator>
  <cp:lastModifiedBy>Dr. Feketéné Dr. Vadász Dóra</cp:lastModifiedBy>
  <cp:revision>2</cp:revision>
  <dcterms:created xsi:type="dcterms:W3CDTF">2023-06-20T10:21:00Z</dcterms:created>
  <dcterms:modified xsi:type="dcterms:W3CDTF">2023-06-20T10:21:00Z</dcterms:modified>
</cp:coreProperties>
</file>