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ajan Pro" w:hAnsi="Trajan Pro" w:cs="Helvetica"/>
          <w:smallCaps/>
          <w:color w:val="262626"/>
          <w:sz w:val="20"/>
          <w:szCs w:val="20"/>
        </w:rPr>
      </w:pPr>
      <w:r>
        <w:rPr>
          <w:rFonts w:cs="Helvetica" w:ascii="Trajan Pro" w:hAnsi="Trajan Pro"/>
          <w:smallCaps/>
          <w:color w:val="262626"/>
          <w:sz w:val="20"/>
          <w:szCs w:val="20"/>
        </w:rPr>
        <w:t>Népegészségügyi Főosztály</w:t>
      </w:r>
    </w:p>
    <w:p>
      <w:pPr>
        <w:pStyle w:val="Normal"/>
        <w:jc w:val="center"/>
        <w:rPr>
          <w:rFonts w:ascii="Trajan Pro" w:hAnsi="Trajan Pro" w:cs="Helvetica"/>
          <w:smallCaps/>
          <w:color w:val="262626"/>
          <w:sz w:val="20"/>
          <w:szCs w:val="20"/>
        </w:rPr>
      </w:pPr>
      <w:r>
        <w:rPr>
          <w:rFonts w:cs="Helvetica" w:ascii="Trajan Pro" w:hAnsi="Trajan Pro"/>
          <w:smallCaps/>
          <w:color w:val="262626"/>
          <w:sz w:val="20"/>
          <w:szCs w:val="20"/>
        </w:rPr>
        <w:t>Közegészségügyi Osztály</w:t>
      </w:r>
    </w:p>
    <w:p>
      <w:pPr>
        <w:pStyle w:val="Normal"/>
        <w:tabs>
          <w:tab w:val="clear" w:pos="708"/>
          <w:tab w:val="left" w:pos="3060" w:leader="none"/>
        </w:tabs>
        <w:bidi w:val="0"/>
        <w:spacing w:lineRule="exact" w:line="300" w:before="280" w:after="0"/>
        <w:ind w:left="0" w:right="-1" w:hanging="0"/>
        <w:jc w:val="center"/>
        <w:rPr>
          <w:rFonts w:ascii="Times New Roman" w:hAnsi="Times New Roman" w:cs="Arial"/>
          <w:i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 xml:space="preserve">Nyilvántartás a </w:t>
      </w:r>
      <w:r>
        <w:rPr>
          <w:rFonts w:cs="Times New Roman"/>
          <w:b/>
          <w:i/>
          <w:sz w:val="18"/>
          <w:szCs w:val="18"/>
        </w:rPr>
        <w:t xml:space="preserve">Baranya Vármegyei Kormányhivatal Népegészségügyi Főosztály felügyelete alá tartozó </w:t>
      </w:r>
      <w:r>
        <w:rPr>
          <w:rFonts w:cs="Times New Roman"/>
          <w:b/>
          <w:i/>
          <w:sz w:val="18"/>
          <w:szCs w:val="18"/>
        </w:rPr>
        <w:t>jóváhagyott ivóvízbiztonsági terv</w:t>
      </w:r>
      <w:r>
        <w:rPr>
          <w:rFonts w:cs="Times New Roman"/>
          <w:b/>
          <w:i/>
          <w:sz w:val="18"/>
          <w:szCs w:val="18"/>
        </w:rPr>
        <w:t>eknek megfelelően</w:t>
      </w:r>
      <w:r>
        <w:rPr>
          <w:rFonts w:cs="Times New Roman"/>
          <w:b/>
          <w:i/>
          <w:sz w:val="18"/>
          <w:szCs w:val="18"/>
        </w:rPr>
        <w:t xml:space="preserve"> üzemelő </w:t>
      </w:r>
      <w:r>
        <w:rPr>
          <w:rFonts w:cs="Times New Roman"/>
          <w:b/>
          <w:i/>
          <w:sz w:val="18"/>
          <w:szCs w:val="18"/>
        </w:rPr>
        <w:t>ivóvízellátó rendszerek</w:t>
      </w:r>
      <w:r>
        <w:rPr>
          <w:rFonts w:cs="Times New Roman"/>
          <w:b/>
          <w:i/>
          <w:sz w:val="18"/>
          <w:szCs w:val="18"/>
        </w:rPr>
        <w:t>ről  2023.</w:t>
      </w:r>
    </w:p>
    <w:p>
      <w:pPr>
        <w:pStyle w:val="Normal"/>
        <w:widowControl w:val="false"/>
        <w:ind w:left="4248" w:right="0" w:hanging="0"/>
        <w:jc w:val="both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cs="Arial" w:ascii="Arial" w:hAnsi="Arial"/>
          <w:color w:val="000000"/>
          <w:kern w:val="2"/>
          <w:sz w:val="20"/>
          <w:szCs w:val="20"/>
        </w:rPr>
      </w:r>
    </w:p>
    <w:tbl>
      <w:tblPr>
        <w:tblW w:w="1414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019"/>
        <w:gridCol w:w="2023"/>
        <w:gridCol w:w="2018"/>
        <w:gridCol w:w="2023"/>
        <w:gridCol w:w="2021"/>
        <w:gridCol w:w="2020"/>
      </w:tblGrid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18"/>
                <w:szCs w:val="18"/>
                <w:lang w:val="hu-H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hu-HU" w:eastAsia="en-US" w:bidi="ar-SA"/>
              </w:rPr>
              <w:t>Sorszám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18"/>
                <w:szCs w:val="18"/>
                <w:lang w:val="hu-H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hu-HU" w:eastAsia="en-US" w:bidi="ar-SA"/>
              </w:rPr>
              <w:t>Vízműrendszer megnevezése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18"/>
                <w:szCs w:val="18"/>
                <w:lang w:val="hu-H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hu-HU" w:eastAsia="en-US" w:bidi="ar-SA"/>
              </w:rPr>
              <w:t>Engedélyes és üzemeltető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18"/>
                <w:szCs w:val="18"/>
                <w:lang w:val="hu-H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hu-HU" w:eastAsia="en-US" w:bidi="ar-SA"/>
              </w:rPr>
              <w:t>Ellátott települések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18"/>
                <w:szCs w:val="18"/>
                <w:lang w:val="hu-H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hu-HU" w:eastAsia="en-US" w:bidi="ar-SA"/>
              </w:rPr>
              <w:t>Engedély száma és kiadás időpontja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18"/>
                <w:szCs w:val="18"/>
                <w:lang w:val="hu-H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hu-HU" w:eastAsia="en-US" w:bidi="ar-SA"/>
              </w:rPr>
              <w:t>Felülvizsgálat száma és kiadás időpontja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18"/>
                <w:szCs w:val="18"/>
                <w:lang w:val="hu-H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hu-HU" w:eastAsia="en-US" w:bidi="ar-SA"/>
              </w:rPr>
              <w:t>Következő felülvizsgálat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Tettye Forrásház Ivóvízellátó Rendszere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Tettye Forrásház Zrt. (7621 Pécs, Széchenyi tér 1.)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Pécs, Aranyosgadány, Keszü, Kökény, Gyód, Bicsérd, Zók, Aranyosgadány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KEF-3187-1/2013.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013. február 1.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BA/NEF/01256-2/2018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2018. december 14.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2023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Pécs - Mohács Regionális Vízmű (PMRV)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Dunántúli Regionális Vízmű Zrt. 8601 Siófok, Tanácsház u.7.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</w:pPr>
            <w:r>
              <w:rPr>
                <w:rFonts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Kozármisleny, Pécsudvard, Szemely, Lothárd, Birján, Peterd, Egerág, Szőkéd, Áta, Pécsdevecser, Kiskassa, Kisherend, Pogány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KEF-15679-5/2013.</w:t>
              <w:br/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2013. október 25.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BA/NEF/00939-2/2018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2018. augusztus 18.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2023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Szederkény Kistérségi Vízmű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Dunántúli Regionális Vízmű Zrt. 8601 Siófok, Tanácsház u.7.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</w:pPr>
            <w:r>
              <w:rPr>
                <w:rFonts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Szederkény, Babarc, Belvárdgyula, Hásságy, Máriakéménd, Olasz, Szajk, Versend, Kátoly, Berkesd, Ellend,,Pereked, Kékesd, Erzsébet, Szellő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BAR/006/00127-2/2015.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2015.március 02.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BA/NEF/01107-2/2019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2019.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október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2024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Siklós Vízellátó Rendszere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Dunántúli Regionális Vízmű Zrt. 8601 Siófok, Tanácsház u.7.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Siklós, Máriagyűd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BAR/006/00126-2/2015.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2015.március 02.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BA/NEF/01108-2/2019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2019.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október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2024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Szigetvár Városi Vízmű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Baranya Víz Zrt 7700 Mohács, Budapesti országút 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Szigetvár, Hobol, Becefa, Zsibót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BAR/006/01178-2/2015.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2015.december 02.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BA/NEF/1018-2/2021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2021.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október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2026</w:t>
            </w:r>
          </w:p>
        </w:tc>
      </w:tr>
      <w:tr>
        <w:trPr>
          <w:trHeight w:val="842" w:hRule="atLeast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Szentlőrinc Városi Vízmű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Baranya Víz Zrt 7700 Mohács, Budapesti országút 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Szentlőrinc, Tarcsapuszta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BAR/006/01179-2/2015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2015.december 04.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BA/NEF/1018-2/2021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2021.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október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2026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Komló Város és Kistérsége Vízmű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Baranya Víz Zrt 7700 Mohács, Budapesti országút 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Komló, Mánfa, Liget, Magyarhertelend, Mecsekpölöske,  Magyarszék,  Bodolyabér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BA/NF/00616-2/2016.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2016.május 04.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BA/NEF/1177-2/2021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uppressAutoHyphens w:val="true"/>
              <w:spacing w:lineRule="auto" w:line="240" w:before="0" w:after="0"/>
              <w:ind w:left="5040" w:right="0" w:hanging="5040"/>
              <w:jc w:val="lef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2021.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december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2026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Mohács kistérségi  vízmű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Baranya Víz Zrt 7700 Mohács, Budapesti országút 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Mohács, Kölked, Lánycsók, Himesháza, Görcsönydoboka, Liptód, Maráza, Szűr, Geresdlak, Kisnyárád, Erdősmárok, Székelyszabar, Fazekasboda,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BA/NF/0777-2/2016.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2016.június 06.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BA/NEF/0193-2/2022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uppressAutoHyphens w:val="true"/>
              <w:spacing w:lineRule="auto" w:line="240" w:before="0" w:after="0"/>
              <w:ind w:left="5040" w:right="0" w:hanging="5040"/>
              <w:jc w:val="lef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január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Villány-Villánykövesdi Kistérségi Vízmű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Dunántúli Regionális Vízmű Zrt. 8601 Siófok, Tanácsház u.7.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Villány,  Kisbudmér, Villánykövesd, Ivánbattyán, Kisjakabfalva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BA/NF/01228-2/2016.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2016.november 18.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</w:t>
            </w: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hu-HU" w:bidi="ar-SA"/>
              </w:rPr>
              <w:t>2456</w:t>
            </w:r>
            <w:r>
              <w:rPr>
                <w:b/>
                <w:bCs/>
                <w:sz w:val="18"/>
                <w:szCs w:val="18"/>
              </w:rPr>
              <w:t>-2/2020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u w:val="none"/>
              </w:rPr>
            </w:pPr>
            <w:r>
              <w:rPr>
                <w:rFonts w:cs="Times New Roman"/>
                <w:b/>
                <w:bCs/>
                <w:sz w:val="18"/>
                <w:szCs w:val="18"/>
                <w:u w:val="none"/>
              </w:rPr>
              <w:t xml:space="preserve">2020. </w:t>
            </w:r>
            <w:r>
              <w:rPr>
                <w:rFonts w:cs="Times New Roman"/>
                <w:b/>
                <w:bCs/>
                <w:sz w:val="18"/>
                <w:szCs w:val="18"/>
                <w:u w:val="none"/>
              </w:rPr>
              <w:t xml:space="preserve">szeptember </w:t>
            </w:r>
            <w:r>
              <w:rPr>
                <w:rFonts w:cs="Times New Roman"/>
                <w:b/>
                <w:bCs/>
                <w:sz w:val="18"/>
                <w:szCs w:val="18"/>
                <w:u w:val="none"/>
              </w:rPr>
              <w:t>09.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2024</w:t>
            </w:r>
          </w:p>
        </w:tc>
      </w:tr>
      <w:tr>
        <w:trPr/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Pécsváradi Kis 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egionális Vízmű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Mezőföldi Regionális Vízközmű Kft.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7030 Paks, Kölesdi út 46.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Pécsvárad, Zengővárkony, Martonfa, Lovászhetény, Szilágy, Nagypall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BA/NEF/00430-2/2017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2017.március 23.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BA/NEF/0962-2/2022.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október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Kisdér-Ócsárd Vízmű Rendszer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Baranya Víz Zrt 7700 Mohács, Budapesti országút 1.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Kisdér, Ócsárd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BA/NEF/1225-2/2017.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2017. december 08.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BA/NEF/1046-2/2022.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december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Bosta Regionális Vízmű Rendszer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Baranya Víz Zrt 7700 Mohács, Budapesti országút 1.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Garé, Bosta, Szilvás, Szőke, Regenye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BA/NEF/1226-2/2017.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2017. december 08.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BA/NEF/1039-2/2022.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december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Márok Községi Vízmű Rendszer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Baranya Víz Zrt 7700 Mohács, Budapesti országút 1.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Márok, Lippó, Bezedek, Töttös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BA/NEF/1227-2/2017.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2017. december 07.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BA/NEF/1038-2/2022.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december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Márfa Regionális Vízmű Rendszer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Baranya Víz Zrt.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7700 Mohács, Budapesti országút 1.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Harkány, Drávaszabolcs, Gordisa, Márfa, Drávapalkonya, Drávacsehi, Matty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BA/NEF/1228-2/2017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2017. december 07.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BA/NEF/1040-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/2022.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december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hu-HU" w:bidi="ar-SA"/>
              </w:rPr>
              <w:t>Bóly-Monyoród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Kistérségi Vízmű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Dunántúli Regionális Vízmű Zrt. 8601 Siófok, Tanácsház u.7.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</w:t>
            </w:r>
            <w:r>
              <w:rPr>
                <w:rFonts w:cs="Times New Roman"/>
                <w:b/>
                <w:bCs/>
                <w:sz w:val="18"/>
                <w:szCs w:val="18"/>
              </w:rPr>
              <w:t>ó</w:t>
            </w:r>
            <w:r>
              <w:rPr>
                <w:rFonts w:cs="Times New Roman"/>
                <w:b/>
                <w:bCs/>
                <w:sz w:val="18"/>
                <w:szCs w:val="18"/>
              </w:rPr>
              <w:t>ly, Monyoród, Pócsa, Borjád, Nagybudmér, Nagynyárád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BA-03/NO/0023-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/2016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2016. június 23.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BA/NEF/0451-2/2020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2020.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március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2025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orient="landscape" w:w="16838" w:h="11906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ajan Pro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auto"/>
    <w:pitch w:val="default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spacing w:before="240" w:after="0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>7623 Pécs, Szabadság u. 7.</w:t>
    </w:r>
  </w:p>
  <w:p>
    <w:pPr>
      <w:pStyle w:val="Llb"/>
      <w:jc w:val="right"/>
      <w:rPr/>
    </w:pPr>
    <w:r>
      <w:rPr>
        <w:rFonts w:eastAsia="Wingdings" w:cs="Wingdings" w:ascii="Wingdings" w:hAnsi="Wingdings"/>
        <w:sz w:val="18"/>
        <w:szCs w:val="18"/>
      </w:rPr>
      <w:t></w:t>
    </w:r>
    <w:r>
      <w:rPr>
        <w:rFonts w:cs="Arial" w:ascii="Helvetica" w:hAnsi="Helvetica"/>
        <w:sz w:val="16"/>
        <w:szCs w:val="16"/>
      </w:rPr>
      <w:t>: +36 72 896 197</w:t>
    </w:r>
  </w:p>
  <w:p>
    <w:pPr>
      <w:pStyle w:val="Llb"/>
      <w:jc w:val="right"/>
      <w:rPr/>
    </w:pPr>
    <w:r>
      <w:rPr>
        <w:rFonts w:eastAsia="Wingdings" w:cs="Wingdings" w:ascii="Wingdings" w:hAnsi="Wingdings"/>
        <w:sz w:val="18"/>
        <w:szCs w:val="18"/>
      </w:rPr>
      <w:t></w:t>
    </w:r>
    <w:r>
      <w:rPr>
        <w:rFonts w:cs="Arial" w:ascii="Helvetica" w:hAnsi="Helvetica"/>
        <w:sz w:val="16"/>
        <w:szCs w:val="16"/>
      </w:rPr>
      <w:t>: kozegeszsegugy@baranya.gov.hu</w:t>
    </w:r>
  </w:p>
  <w:p>
    <w:pPr>
      <w:pStyle w:val="Llb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>Honlap: www.bamkh.hu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spacing w:before="240" w:after="0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>7623 Pécs, Szabadság u. 7.</w:t>
    </w:r>
  </w:p>
  <w:p>
    <w:pPr>
      <w:pStyle w:val="Llb"/>
      <w:jc w:val="right"/>
      <w:rPr/>
    </w:pPr>
    <w:r>
      <w:rPr>
        <w:rFonts w:eastAsia="Wingdings" w:cs="Wingdings" w:ascii="Wingdings" w:hAnsi="Wingdings"/>
        <w:sz w:val="18"/>
        <w:szCs w:val="18"/>
      </w:rPr>
      <w:t></w:t>
    </w:r>
    <w:r>
      <w:rPr>
        <w:rFonts w:cs="Arial" w:ascii="Helvetica" w:hAnsi="Helvetica"/>
        <w:sz w:val="16"/>
        <w:szCs w:val="16"/>
      </w:rPr>
      <w:t>: +36 72 896 197</w:t>
    </w:r>
  </w:p>
  <w:p>
    <w:pPr>
      <w:pStyle w:val="Llb"/>
      <w:jc w:val="right"/>
      <w:rPr/>
    </w:pPr>
    <w:r>
      <w:rPr>
        <w:rFonts w:eastAsia="Wingdings" w:cs="Wingdings" w:ascii="Wingdings" w:hAnsi="Wingdings"/>
        <w:sz w:val="18"/>
        <w:szCs w:val="18"/>
      </w:rPr>
      <w:t></w:t>
    </w:r>
    <w:r>
      <w:rPr>
        <w:rFonts w:cs="Arial" w:ascii="Helvetica" w:hAnsi="Helvetica"/>
        <w:sz w:val="16"/>
        <w:szCs w:val="16"/>
      </w:rPr>
      <w:t>: kozegeszsegugy@baranya.gov.hu</w:t>
    </w:r>
  </w:p>
  <w:p>
    <w:pPr>
      <w:pStyle w:val="Llb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>Honlap: www.bamkh.hu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fej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 xml:space="preserve"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3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Lfej"/>
      <w:jc w:val="center"/>
      <w:rPr/>
    </w:pPr>
    <w:r>
      <w:rPr/>
    </w:r>
  </w:p>
  <w:p>
    <w:pPr>
      <w:pStyle w:val="Lfej"/>
      <w:spacing w:lineRule="exact" w:line="20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>
    <w:name w:val="Default Paragraph Font"/>
    <w:qFormat/>
    <w:rPr/>
  </w:style>
  <w:style w:type="character" w:styleId="BuborkszvegChar">
    <w:name w:val="Buborékszöveg Char"/>
    <w:basedOn w:val="DefaultParagraphFont"/>
    <w:qFormat/>
    <w:rPr>
      <w:rFonts w:ascii="Tahoma" w:hAnsi="Tahoma" w:eastAsia="Times New Roman" w:cs="Tahoma"/>
      <w:sz w:val="16"/>
      <w:szCs w:val="16"/>
      <w:lang w:eastAsia="hu-HU"/>
    </w:rPr>
  </w:style>
  <w:style w:type="character" w:styleId="LfejChar">
    <w:name w:val="Élőfej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>
    <w:name w:val="Élőláb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Internet-hivatkozás"/>
    <w:basedOn w:val="DefaultParagraphFon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estern">
    <w:name w:val="western"/>
    <w:basedOn w:val="Normal"/>
    <w:qFormat/>
    <w:pPr>
      <w:spacing w:lineRule="auto" w:line="276" w:before="280" w:after="142"/>
    </w:pPr>
    <w:rPr>
      <w:color w:val="000000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LibreOffice/7.3.6.2.n1$Windows_X86_64 LibreOffice_project/dff218e8c87671f9f0c287f70d93a81293632432</Application>
  <AppVersion>15.0000</AppVersion>
  <Pages>3</Pages>
  <Words>524</Words>
  <Characters>3814</Characters>
  <CharactersWithSpaces>4174</CharactersWithSpaces>
  <Paragraphs>166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2023-01-12T14:37:09Z</dcterms:created>
  <dc:creator/>
  <dc:description/>
  <dc:language>hu-HU</dc:language>
  <cp:lastModifiedBy>Simon Szilvia</cp:lastModifiedBy>
  <cp:lastPrinted>2022-04-25T07:17:00Z</cp:lastPrinted>
  <dcterms:modified xsi:type="dcterms:W3CDTF">2023-06-29T13:51:22Z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