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2024. 1</w:t>
      </w:r>
      <w:r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szegedi monitorozó állomáson mért eredmények alapján 2024. 1</w:t>
      </w:r>
      <w:r>
        <w:rPr>
          <w:color w:val="000000"/>
        </w:rPr>
        <w:t>7</w:t>
      </w:r>
      <w:r>
        <w:rPr>
          <w:color w:val="000000"/>
        </w:rPr>
        <w:t xml:space="preserve">. héten a </w:t>
      </w:r>
      <w:r>
        <w:rPr>
          <w:color w:val="000000"/>
        </w:rPr>
        <w:t>korábban kezdődött lehűlés miatt a hét elején még alacsony volt a pollenterhelés.</w:t>
      </w:r>
      <w:r>
        <w:rPr>
          <w:color w:val="000000"/>
        </w:rPr>
        <w:t xml:space="preserve"> </w:t>
      </w:r>
      <w:r>
        <w:rPr>
          <w:color w:val="000000"/>
        </w:rPr>
        <w:t>A</w:t>
      </w:r>
      <w:r>
        <w:rPr>
          <w:color w:val="000000"/>
        </w:rPr>
        <w:t xml:space="preserve"> barkás fák pollen mennyisége </w:t>
      </w:r>
      <w:r>
        <w:rPr>
          <w:color w:val="000000"/>
        </w:rPr>
        <w:t xml:space="preserve">tovább </w:t>
      </w:r>
      <w:r>
        <w:rPr>
          <w:color w:val="000000"/>
        </w:rPr>
        <w:t>csökken</w:t>
      </w:r>
      <w:r>
        <w:rPr>
          <w:color w:val="000000"/>
        </w:rPr>
        <w:t>t</w:t>
      </w:r>
      <w:r>
        <w:rPr>
          <w:color w:val="000000"/>
        </w:rPr>
        <w:t>, a lágyszárúak p</w:t>
      </w:r>
      <w:r>
        <w:rPr>
          <w:color w:val="000000"/>
        </w:rPr>
        <w:t>ollenszórása pedig növekedést mutatott. A hét második felében a nappali felmelegedés fokozódott, így a levegőben a pollen mennyisége is több lett.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pollenjeit a héten </w:t>
      </w:r>
      <w:r>
        <w:rPr>
          <w:b w:val="false"/>
          <w:bCs w:val="false"/>
          <w:color w:val="000000"/>
        </w:rPr>
        <w:t xml:space="preserve">változóan, az utóbbi hétvégén már </w:t>
      </w:r>
      <w:r>
        <w:rPr>
          <w:b/>
          <w:bCs/>
          <w:color w:val="000000"/>
        </w:rPr>
        <w:t>magas</w:t>
      </w:r>
      <w:r>
        <w:rPr>
          <w:b w:val="false"/>
          <w:bCs w:val="false"/>
          <w:color w:val="000000"/>
        </w:rPr>
        <w:t xml:space="preserve"> tartományban mértük, várhatóan továbbra is magas marad.</w:t>
      </w:r>
      <w:r>
        <w:rPr>
          <w:color w:val="000000"/>
        </w:rPr>
        <w:t xml:space="preserve"> A </w:t>
      </w:r>
      <w:r>
        <w:rPr>
          <w:b/>
          <w:bCs/>
          <w:color w:val="000000"/>
        </w:rPr>
        <w:t>tölgyfa</w:t>
      </w:r>
      <w:r>
        <w:rPr>
          <w:color w:val="000000"/>
        </w:rPr>
        <w:t xml:space="preserve"> pollenjeit </w:t>
      </w:r>
      <w:r>
        <w:rPr>
          <w:b/>
          <w:bCs/>
          <w:color w:val="000000"/>
        </w:rPr>
        <w:t>alacsony</w:t>
      </w:r>
      <w:r>
        <w:rPr>
          <w:b/>
          <w:bCs/>
          <w:color w:val="000000"/>
        </w:rPr>
        <w:t>-közepes</w:t>
      </w:r>
      <w:r>
        <w:rPr>
          <w:color w:val="000000"/>
        </w:rPr>
        <w:t xml:space="preserve"> tarto</w:t>
      </w:r>
      <w:r>
        <w:rPr>
          <w:color w:val="000000"/>
        </w:rPr>
        <w:t xml:space="preserve">mányban mértük. </w:t>
      </w:r>
      <w:r>
        <w:rPr>
          <w:color w:val="000000"/>
        </w:rPr>
        <w:t>C</w:t>
      </w:r>
      <w:r>
        <w:rPr>
          <w:b/>
          <w:bCs/>
          <w:color w:val="000000"/>
        </w:rPr>
        <w:t xml:space="preserve">sökkent a nyír, kőris, virágporának mennyisége, </w:t>
      </w:r>
      <w:r>
        <w:rPr>
          <w:b/>
          <w:bCs/>
          <w:color w:val="000000"/>
        </w:rPr>
        <w:t xml:space="preserve">a platán </w:t>
      </w:r>
      <w:r>
        <w:rPr>
          <w:b w:val="false"/>
          <w:bCs w:val="false"/>
          <w:color w:val="000000"/>
        </w:rPr>
        <w:t xml:space="preserve">pollenje csaknem teljesen </w:t>
      </w:r>
      <w:r>
        <w:rPr>
          <w:b/>
          <w:bCs/>
          <w:color w:val="000000"/>
        </w:rPr>
        <w:t>eltűnt.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Alacsonyabb lett</w:t>
      </w:r>
      <w:r>
        <w:rPr>
          <w:color w:val="000000"/>
        </w:rPr>
        <w:t xml:space="preserve"> a </w:t>
      </w:r>
      <w:r>
        <w:rPr>
          <w:b/>
          <w:bCs/>
          <w:color w:val="000000"/>
        </w:rPr>
        <w:t>csalán</w:t>
      </w:r>
      <w:r>
        <w:rPr>
          <w:color w:val="000000"/>
        </w:rPr>
        <w:t xml:space="preserve"> pollenjének mennyisége is, de ez átmeneti jelenség, az elkövetkező hetekben pollenszáma bizonyosan nőni fog. 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közepesen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ciprus- és tiszafafélék</w:t>
      </w:r>
      <w:r>
        <w:rPr>
          <w:color w:val="000000"/>
        </w:rPr>
        <w:t xml:space="preserve"> pollenkoncentrációja </w:t>
      </w:r>
      <w:r>
        <w:rPr>
          <w:b/>
          <w:bCs/>
          <w:color w:val="000000"/>
        </w:rPr>
        <w:t>közepes-alacsony</w:t>
      </w:r>
      <w:r>
        <w:rPr>
          <w:color w:val="000000"/>
        </w:rPr>
        <w:t xml:space="preserve"> volt.</w:t>
      </w:r>
    </w:p>
    <w:p>
      <w:pPr>
        <w:pStyle w:val="Normal"/>
        <w:jc w:val="both"/>
        <w:rPr>
          <w:color w:val="000000"/>
          <w:highlight w:val="yellow"/>
        </w:rPr>
      </w:pPr>
      <w:r>
        <w:rPr>
          <w:color w:val="000000"/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gyengén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fenyőfélék</w:t>
      </w:r>
      <w:r>
        <w:rPr>
          <w:color w:val="000000"/>
        </w:rPr>
        <w:t xml:space="preserve">, a </w:t>
      </w:r>
      <w:r>
        <w:rPr>
          <w:b/>
          <w:bCs/>
          <w:color w:val="000000"/>
        </w:rPr>
        <w:t>dió</w:t>
      </w:r>
      <w:r>
        <w:rPr>
          <w:color w:val="000000"/>
        </w:rPr>
        <w:t xml:space="preserve"> és az </w:t>
      </w:r>
      <w:r>
        <w:rPr>
          <w:b/>
          <w:bCs/>
          <w:color w:val="000000"/>
        </w:rPr>
        <w:t>eperfa</w:t>
      </w:r>
      <w:r>
        <w:rPr>
          <w:color w:val="000000"/>
        </w:rPr>
        <w:t xml:space="preserve"> pollenszórása </w:t>
      </w:r>
      <w:r>
        <w:rPr>
          <w:b/>
          <w:bCs/>
          <w:color w:val="000000"/>
        </w:rPr>
        <w:t>közepes-alacsony</w:t>
      </w:r>
      <w:r>
        <w:rPr>
          <w:color w:val="000000"/>
        </w:rPr>
        <w:t xml:space="preserve"> tartományban volt mérhető. A fenyőfélék virágzása még tart, virágporuk mennyisége várhatóan növekedni fog. 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Regisztráltunk továbbá vadgesztenye, bodza, lórom és sásfélék pollenjeit is.</w:t>
      </w:r>
    </w:p>
    <w:p>
      <w:pPr>
        <w:pStyle w:val="Default"/>
        <w:jc w:val="both"/>
        <w:rPr/>
      </w:pPr>
      <w:r>
        <w:rPr/>
      </w:r>
    </w:p>
    <w:p>
      <w:pPr>
        <w:pStyle w:val="Default"/>
        <w:rPr/>
      </w:pPr>
      <w:r>
        <w:rPr/>
        <w:t xml:space="preserve">A kültéri </w:t>
      </w:r>
      <w:r>
        <w:rPr>
          <w:b/>
          <w:bCs/>
        </w:rPr>
        <w:t>allergén gombák</w:t>
      </w:r>
      <w:r>
        <w:rPr/>
        <w:t xml:space="preserve"> spóraszáma jellemzően </w:t>
      </w:r>
      <w:r>
        <w:rPr>
          <w:b/>
          <w:bCs/>
        </w:rPr>
        <w:t>alacsony</w:t>
      </w:r>
      <w:r>
        <w:rPr/>
        <w:t xml:space="preserve"> volt, </w:t>
      </w:r>
      <w:r>
        <w:rPr/>
        <w:t>de mennyiségük a növekedés irányába mozdult el.</w:t>
      </w:r>
    </w:p>
    <w:p>
      <w:pPr>
        <w:pStyle w:val="Default"/>
        <w:rPr/>
      </w:pPr>
      <w:r>
        <w:rPr/>
      </w:r>
    </w:p>
    <w:p>
      <w:pPr>
        <w:pStyle w:val="Normal"/>
        <w:rPr/>
      </w:pPr>
      <w:r>
        <w:rPr>
          <w:i/>
          <w:color w:val="000000"/>
        </w:rPr>
        <w:t xml:space="preserve">Továbbra is megtalálható a levegőben a „nyárfaszösz”, ami a nyárfa terméséből és annak szél által való elterjedését segítő, allergén fehérjéket nem tartalmazó részeiből áll. </w:t>
      </w:r>
    </w:p>
    <w:p>
      <w:pPr>
        <w:pStyle w:val="Normal"/>
        <w:rPr>
          <w:i/>
          <w:i/>
          <w:color w:val="000000"/>
        </w:rPr>
      </w:pPr>
      <w:r>
        <w:rPr>
          <w:i/>
          <w:color w:val="000000"/>
        </w:rPr>
      </w:r>
    </w:p>
    <w:p>
      <w:pPr>
        <w:pStyle w:val="Normal"/>
        <w:jc w:val="both"/>
        <w:rPr>
          <w:color w:val="000000"/>
          <w:highlight w:val="yellow"/>
        </w:rPr>
      </w:pPr>
      <w:r>
        <w:rPr>
          <w:color w:val="000000"/>
          <w:highlight w:val="yellow"/>
        </w:rPr>
      </w:r>
    </w:p>
    <w:p>
      <w:pPr>
        <w:pStyle w:val="Normal"/>
        <w:rPr/>
      </w:pPr>
      <w:r>
        <w:rPr/>
        <w:t>A pollenszám a 2024.04.</w:t>
      </w:r>
      <w:r>
        <w:rPr/>
        <w:t>22</w:t>
      </w:r>
      <w:r>
        <w:rPr/>
        <w:t>. – 2024.04.2</w:t>
      </w:r>
      <w:r>
        <w:rPr/>
        <w:t>8</w:t>
      </w:r>
      <w:r>
        <w:rPr/>
        <w:t>. közötti időszakban a következőképpen alakult:</w:t>
      </w:r>
    </w:p>
    <w:p>
      <w:pPr>
        <w:pStyle w:val="Normal"/>
        <w:rPr/>
      </w:pPr>
      <w:r>
        <w:rPr/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  <w:t>Tölgy (erősen allergén)</w:t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15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</w:tbl>
    <w:p>
      <w:pPr>
        <w:pStyle w:val="Normal"/>
        <w:spacing w:before="60" w:after="0"/>
        <w:jc w:val="center"/>
        <w:rPr/>
      </w:pPr>
      <w:r>
        <w:rPr/>
        <w:drawing>
          <wp:inline distT="0" distB="0" distL="0" distR="0">
            <wp:extent cx="1047750" cy="1417955"/>
            <wp:effectExtent l="0" t="0" r="0" b="0"/>
            <wp:docPr id="1" name="Quercus%20robur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uercus%20robur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1" t="-8" r="-11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056005" cy="1415415"/>
            <wp:effectExtent l="0" t="0" r="0" b="0"/>
            <wp:docPr id="2" name="kocsányos_tölgy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csányos_tölgy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8" t="-31" r="-48" b="-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b/>
          <w:b/>
        </w:rPr>
      </w:pPr>
      <w:r>
        <w:rPr>
          <w:b/>
        </w:rPr>
        <w:t>Kőris (erősen allergén)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2"/>
        <w:gridCol w:w="1240"/>
        <w:gridCol w:w="1261"/>
        <w:gridCol w:w="1456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>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 (</w:t>
            </w:r>
            <w:r>
              <w:rPr>
                <w:position w:val="0"/>
                <w:sz w:val="24"/>
                <w:sz w:val="24"/>
                <w:vertAlign w:val="baseline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</w:t>
            </w:r>
            <w:r>
              <w:rPr>
                <w:position w:val="0"/>
                <w:sz w:val="24"/>
                <w:sz w:val="24"/>
                <w:vertAlign w:val="baseline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</w:t>
            </w:r>
            <w:r>
              <w:rPr/>
              <w:t xml:space="preserve"> db/m³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920240" cy="1278255"/>
            <wp:effectExtent l="0" t="0" r="0" b="0"/>
            <wp:docPr id="3" name="virágos_kőri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rágos_kőris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4" t="-18" r="-24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242060" cy="1577340"/>
            <wp:effectExtent l="0" t="0" r="0" b="0"/>
            <wp:docPr id="4" name="koris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risfa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9" t="-15" r="-1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>
          <w:b w:val="false"/>
          <w:bCs w:val="false"/>
        </w:rPr>
        <w:t xml:space="preserve"> 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5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6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  <w:t xml:space="preserve">Pázsitfűfélék (erősen allergén)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 db/m³</w:t>
            </w:r>
            <w:r>
              <w:rPr>
                <w:position w:val="0"/>
                <w:sz w:val="24"/>
                <w:vertAlign w:val="baseline"/>
              </w:rPr>
              <w:t xml:space="preserve">  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10 db/m³</w:t>
            </w:r>
            <w:r>
              <w:rPr>
                <w:position w:val="0"/>
                <w:sz w:val="24"/>
                <w:vertAlign w:val="baseline"/>
              </w:rPr>
              <w:t xml:space="preserve"> 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52 db/m³</w:t>
            </w:r>
            <w:r>
              <w:rPr>
                <w:position w:val="0"/>
                <w:sz w:val="24"/>
                <w:vertAlign w:val="baseline"/>
              </w:rPr>
              <w:t xml:space="preserve"> (magas)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7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8" name="Kép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1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9" name="Kép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14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>
          <w:b/>
          <w:b/>
        </w:rPr>
      </w:pPr>
      <w:r>
        <w:rPr>
          <w:b/>
        </w:rPr>
        <w:t xml:space="preserve">Nyír (erősen allergén) </w:t>
      </w:r>
    </w:p>
    <w:p>
      <w:pPr>
        <w:pStyle w:val="Normal"/>
        <w:rPr>
          <w:b/>
          <w:b/>
        </w:rPr>
      </w:pPr>
      <w:r>
        <w:rPr/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670050" cy="1249680"/>
            <wp:effectExtent l="0" t="0" r="0" b="0"/>
            <wp:docPr id="10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25" t="-33" r="-25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892300" cy="1247775"/>
            <wp:effectExtent l="0" t="0" r="0" b="0"/>
            <wp:docPr id="11" name="image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s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56" t="-41" r="-56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Fenyőfélék (gyengén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05585" cy="1134110"/>
            <wp:effectExtent l="0" t="0" r="0" b="0"/>
            <wp:docPr id="12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448435" cy="1124585"/>
            <wp:effectExtent l="0" t="0" r="0" b="0"/>
            <wp:docPr id="13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t xml:space="preserve"> </w:t>
      </w:r>
    </w:p>
    <w:p>
      <w:pPr>
        <w:pStyle w:val="Normal"/>
        <w:jc w:val="both"/>
        <w:rPr>
          <w:b/>
          <w:b/>
        </w:rPr>
      </w:pPr>
      <w:r>
        <w:rPr>
          <w:b/>
        </w:rPr>
        <w:t>Dió</w:t>
      </w:r>
      <w:r>
        <w:rPr/>
        <w:t xml:space="preserve"> </w:t>
      </w:r>
      <w:r>
        <w:rPr>
          <w:b/>
        </w:rPr>
        <w:t xml:space="preserve">(gyengén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</w:rPr>
              <w:t xml:space="preserve">1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</w:rPr>
              <w:t xml:space="preserve">1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8 db/m³</w:t>
            </w:r>
            <w:r>
              <w:rPr>
                <w:position w:val="0"/>
                <w:sz w:val="24"/>
                <w:vertAlign w:val="baseline"/>
              </w:rPr>
              <w:t xml:space="preserve"> 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color w:val="000000"/>
              </w:rPr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 xml:space="preserve"> </w:t>
            </w: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 xml:space="preserve">  </w:t>
      </w:r>
      <w:r>
        <w:rPr/>
        <w:drawing>
          <wp:inline distT="0" distB="0" distL="0" distR="0">
            <wp:extent cx="1423035" cy="1408430"/>
            <wp:effectExtent l="0" t="0" r="0" b="0"/>
            <wp:docPr id="14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15" t="-30" r="-15" b="-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035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080770" cy="1423670"/>
            <wp:effectExtent l="0" t="0" r="0" b="0"/>
            <wp:docPr id="15" name="adio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dio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14" t="-10" r="-14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Eperfafélék (gyengén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-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6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Default"/>
        <w:jc w:val="both"/>
        <w:rPr/>
      </w:pPr>
      <w:r>
        <w:rPr/>
        <w:t xml:space="preserve">    </w:t>
      </w:r>
    </w:p>
    <w:p>
      <w:pPr>
        <w:pStyle w:val="Default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39240" cy="1145540"/>
            <wp:effectExtent l="0" t="0" r="0" b="0"/>
            <wp:docPr id="16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29" t="-78" r="-29" b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538605" cy="1146175"/>
            <wp:effectExtent l="0" t="0" r="0" b="0"/>
            <wp:docPr id="17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29" t="-78" r="-29" b="-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05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5"/>
        <w:gridCol w:w="1844"/>
      </w:tblGrid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3"/>
        <w:gridCol w:w="1846"/>
      </w:tblGrid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  <w:t>Szeged, 2024. április 2</w:t>
      </w:r>
      <w:r>
        <w:rPr/>
        <w:t>9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fontTable" Target="fontTable.xml"/><Relationship Id="rId20" Type="http://schemas.openxmlformats.org/officeDocument/2006/relationships/settings" Target="settings.xml"/><Relationship Id="rId2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Application>LibreOffice/7.1.4.2.n7$Windows_X86_64 LibreOffice_project/f0ca39448664a192cc3534ef817f27198f044ba9</Application>
  <AppVersion>15.0000</AppVersion>
  <Pages>5</Pages>
  <Words>547</Words>
  <Characters>3349</Characters>
  <CharactersWithSpaces>3754</CharactersWithSpaces>
  <Paragraphs>207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2023-05-15T09:48:00Z</dcterms:created>
  <dc:creator>Apatini Dóra</dc:creator>
  <dc:description/>
  <dc:language>hu-HU</dc:language>
  <cp:lastModifiedBy/>
  <cp:lastPrinted>2023-05-15T10:23:00Z</cp:lastPrinted>
  <dcterms:modified xsi:type="dcterms:W3CDTF">2024-04-29T15:03:13Z</dcterms:modified>
  <cp:revision>40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