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74F11" w:rsidRDefault="009B2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</w:r>
      <w:r>
        <w:rPr>
          <w:b/>
          <w:sz w:val="28"/>
          <w:szCs w:val="28"/>
        </w:rPr>
        <w:br/>
        <w:t xml:space="preserve"> 2024. 27. héten</w:t>
      </w:r>
    </w:p>
    <w:p w:rsidR="00374F11" w:rsidRDefault="00374F11">
      <w:pPr>
        <w:rPr>
          <w:b/>
          <w:color w:val="FF0000"/>
          <w:sz w:val="28"/>
          <w:szCs w:val="28"/>
        </w:rPr>
      </w:pPr>
    </w:p>
    <w:p w:rsidR="00374F11" w:rsidRDefault="00374F11">
      <w:pPr>
        <w:jc w:val="both"/>
        <w:rPr>
          <w:color w:val="000000"/>
        </w:rPr>
      </w:pPr>
    </w:p>
    <w:p w:rsidR="00374F11" w:rsidRDefault="009B26BF">
      <w:pPr>
        <w:jc w:val="both"/>
        <w:rPr>
          <w:color w:val="000000"/>
        </w:rPr>
      </w:pPr>
      <w:r>
        <w:rPr>
          <w:color w:val="000000"/>
        </w:rPr>
        <w:t>A szegedi monitorozó állomáson mért eredmények alapján 2024. 2</w:t>
      </w:r>
      <w:r w:rsidR="000E7CCA">
        <w:rPr>
          <w:color w:val="000000"/>
        </w:rPr>
        <w:t>7</w:t>
      </w:r>
      <w:r>
        <w:rPr>
          <w:color w:val="000000"/>
        </w:rPr>
        <w:t xml:space="preserve">. héten viszonylag alacsony, némileg hullámzó volt a pollenterhelés. A barkás fák között a ciprus és tiszafafélék pollen mennyisége csökkent, a többi gyakorlatilag eltűnt. A nyáron virágzó lágyszárúak pollenszáma fajonként eltérő mértékben növekedést mutatott. A napi teljes pollenszám </w:t>
      </w:r>
      <w:r w:rsidR="00161084">
        <w:rPr>
          <w:color w:val="000000"/>
        </w:rPr>
        <w:t xml:space="preserve">szerdán </w:t>
      </w:r>
      <w:r>
        <w:rPr>
          <w:color w:val="000000"/>
        </w:rPr>
        <w:t xml:space="preserve">és </w:t>
      </w:r>
      <w:r w:rsidR="00161084">
        <w:rPr>
          <w:color w:val="000000"/>
        </w:rPr>
        <w:t>csütörtökön</w:t>
      </w:r>
      <w:r>
        <w:rPr>
          <w:color w:val="000000"/>
        </w:rPr>
        <w:t xml:space="preserve"> mutatta a legnagyobb értéket.</w:t>
      </w:r>
    </w:p>
    <w:p w:rsidR="00374F11" w:rsidRDefault="00374F11">
      <w:pPr>
        <w:jc w:val="both"/>
        <w:rPr>
          <w:color w:val="000000"/>
        </w:rPr>
      </w:pPr>
    </w:p>
    <w:p w:rsidR="00374F11" w:rsidRDefault="009B26BF">
      <w:pPr>
        <w:jc w:val="both"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 xml:space="preserve">közepes </w:t>
      </w:r>
      <w:r>
        <w:rPr>
          <w:color w:val="000000"/>
        </w:rPr>
        <w:t xml:space="preserve">tartományban mértük, számuk várhatóan továbbra is jelentős marad.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egész héten </w:t>
      </w:r>
      <w:r w:rsidR="007D5588">
        <w:rPr>
          <w:b/>
          <w:bCs/>
          <w:color w:val="000000"/>
        </w:rPr>
        <w:t>közepes</w:t>
      </w:r>
      <w:r>
        <w:rPr>
          <w:color w:val="000000"/>
        </w:rPr>
        <w:t xml:space="preserve"> volt. 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fajok pollenjét csaknem minden nap láthattuk, mennyiségük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. </w:t>
      </w:r>
    </w:p>
    <w:p w:rsidR="00374F11" w:rsidRDefault="00374F11">
      <w:pPr>
        <w:pStyle w:val="Default"/>
        <w:jc w:val="both"/>
      </w:pPr>
    </w:p>
    <w:p w:rsidR="00374F11" w:rsidRDefault="009B26BF">
      <w:pPr>
        <w:jc w:val="both"/>
        <w:rPr>
          <w:color w:val="000000"/>
        </w:rPr>
      </w:pPr>
      <w:r>
        <w:t xml:space="preserve">Magas </w:t>
      </w:r>
      <w:r>
        <w:rPr>
          <w:b/>
          <w:bCs/>
        </w:rPr>
        <w:t>pázsitfű</w:t>
      </w:r>
      <w:r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 w:rsidR="00374F11" w:rsidRDefault="00374F11">
      <w:pPr>
        <w:jc w:val="both"/>
        <w:rPr>
          <w:color w:val="000000"/>
        </w:rPr>
      </w:pPr>
    </w:p>
    <w:p w:rsidR="00374F11" w:rsidRDefault="009B26BF">
      <w:pPr>
        <w:jc w:val="both"/>
        <w:rPr>
          <w:color w:val="000000"/>
        </w:rPr>
      </w:pPr>
      <w:r>
        <w:rPr>
          <w:color w:val="000000"/>
        </w:rPr>
        <w:t xml:space="preserve">Már az ezt megelőző héten némi meglepetést okozott, hogy 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ciprus és tiszafafélék</w:t>
      </w:r>
      <w:r>
        <w:rPr>
          <w:color w:val="000000"/>
        </w:rPr>
        <w:t xml:space="preserve"> pollenjének mennyisége átmenetileg </w:t>
      </w:r>
      <w:r>
        <w:rPr>
          <w:b/>
          <w:bCs/>
          <w:color w:val="000000"/>
        </w:rPr>
        <w:t xml:space="preserve">növekedett, </w:t>
      </w:r>
      <w:r>
        <w:rPr>
          <w:color w:val="000000"/>
        </w:rPr>
        <w:t>de így is</w:t>
      </w:r>
      <w:r>
        <w:rPr>
          <w:b/>
          <w:bCs/>
          <w:color w:val="000000"/>
        </w:rPr>
        <w:t xml:space="preserve"> alacsony-közepes </w:t>
      </w:r>
      <w:r>
        <w:rPr>
          <w:color w:val="000000"/>
        </w:rPr>
        <w:t>értéket mutat.</w:t>
      </w:r>
    </w:p>
    <w:p w:rsidR="00374F11" w:rsidRDefault="00374F11">
      <w:pPr>
        <w:jc w:val="both"/>
        <w:rPr>
          <w:color w:val="000000"/>
        </w:rPr>
      </w:pPr>
    </w:p>
    <w:p w:rsidR="00374F11" w:rsidRDefault="009B26BF">
      <w:pPr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kender</w:t>
      </w:r>
      <w:r>
        <w:rPr>
          <w:color w:val="000000"/>
        </w:rPr>
        <w:t xml:space="preserve"> pollenjének mennyiségét </w:t>
      </w:r>
      <w:r>
        <w:rPr>
          <w:b/>
          <w:bCs/>
          <w:color w:val="000000"/>
        </w:rPr>
        <w:t>alacsonynak</w:t>
      </w:r>
      <w:r>
        <w:rPr>
          <w:color w:val="000000"/>
        </w:rPr>
        <w:t xml:space="preserve"> mértük.</w:t>
      </w:r>
    </w:p>
    <w:p w:rsidR="00374F11" w:rsidRDefault="00374F11">
      <w:pPr>
        <w:jc w:val="both"/>
        <w:rPr>
          <w:color w:val="000000"/>
        </w:rPr>
      </w:pPr>
    </w:p>
    <w:p w:rsidR="00374F11" w:rsidRDefault="009B26BF">
      <w:pPr>
        <w:jc w:val="both"/>
        <w:rPr>
          <w:color w:val="000000"/>
        </w:rPr>
      </w:pPr>
      <w:r>
        <w:rPr>
          <w:color w:val="000000"/>
        </w:rPr>
        <w:t>Regisztráltunk továbbá bálványfa, libatop, szerbtövis pollenjeit is.</w:t>
      </w:r>
    </w:p>
    <w:p w:rsidR="009B26BF" w:rsidRDefault="009B26BF">
      <w:pPr>
        <w:jc w:val="both"/>
        <w:rPr>
          <w:color w:val="000000"/>
        </w:rPr>
      </w:pPr>
    </w:p>
    <w:p w:rsidR="00374F11" w:rsidRDefault="009B26BF">
      <w:pPr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color w:val="000000"/>
        </w:rPr>
        <w:t>parlagfű, ürüm</w:t>
      </w:r>
      <w:r>
        <w:rPr>
          <w:color w:val="000000"/>
        </w:rPr>
        <w:t xml:space="preserve"> fajok pollenje már megjelent, de még kevés van belőlük. Mennyiségük az elkövetkező napokban akár jelentékenyen növekedhet.</w:t>
      </w:r>
    </w:p>
    <w:p w:rsidR="00374F11" w:rsidRDefault="00374F11">
      <w:pPr>
        <w:pStyle w:val="Default"/>
        <w:jc w:val="both"/>
      </w:pPr>
    </w:p>
    <w:p w:rsidR="00374F11" w:rsidRDefault="009B26BF">
      <w:pPr>
        <w:pStyle w:val="Default"/>
        <w:rPr>
          <w:b/>
          <w:bCs/>
        </w:rPr>
      </w:pPr>
      <w:r>
        <w:rPr>
          <w:b/>
          <w:bCs/>
        </w:rPr>
        <w:t>A kültéri allergén gombák spóraszáma, különösen az Alternária értéke magas.</w:t>
      </w:r>
    </w:p>
    <w:p w:rsidR="00374F11" w:rsidRDefault="00374F11">
      <w:pPr>
        <w:pStyle w:val="Default"/>
        <w:rPr>
          <w:b/>
          <w:bCs/>
        </w:rPr>
      </w:pPr>
    </w:p>
    <w:p w:rsidR="00374F11" w:rsidRPr="009B26BF" w:rsidRDefault="009B26BF">
      <w:pPr>
        <w:rPr>
          <w:u w:val="single"/>
        </w:rPr>
      </w:pPr>
      <w:r w:rsidRPr="009B26BF">
        <w:rPr>
          <w:u w:val="single"/>
        </w:rPr>
        <w:t>A pollenszám a 2024.07.01. – 2024.07.07. közötti időszakban a következőképpen alakult:</w:t>
      </w:r>
    </w:p>
    <w:p w:rsidR="00374F11" w:rsidRDefault="00374F11">
      <w:pPr>
        <w:rPr>
          <w:b/>
        </w:rPr>
      </w:pPr>
    </w:p>
    <w:p w:rsidR="00374F11" w:rsidRDefault="009B26BF">
      <w:r>
        <w:rPr>
          <w:b/>
        </w:rPr>
        <w:t xml:space="preserve">Pázsitfűfélék (erősen allergén) </w:t>
      </w:r>
    </w:p>
    <w:p w:rsidR="00374F11" w:rsidRDefault="009B26BF">
      <w:pPr>
        <w:rPr>
          <w:b/>
        </w:rPr>
      </w:pPr>
      <w:r>
        <w:rPr>
          <w:b/>
        </w:rPr>
        <w:t xml:space="preserve"> </w:t>
      </w:r>
    </w:p>
    <w:tbl>
      <w:tblPr>
        <w:tblW w:w="9206" w:type="dxa"/>
        <w:tblInd w:w="221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374F11" w:rsidTr="00161084">
        <w:trPr>
          <w:trHeight w:val="615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374F11" w:rsidTr="00161084">
        <w:trPr>
          <w:trHeight w:val="649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vertAlign w:val="superscript"/>
              </w:rPr>
            </w:pPr>
            <w:r>
              <w:t>30 db/m</w:t>
            </w:r>
            <w:r>
              <w:rPr>
                <w:vertAlign w:val="superscript"/>
              </w:rPr>
              <w:t>3</w:t>
            </w:r>
          </w:p>
          <w:p w:rsidR="00374F11" w:rsidRDefault="009B26BF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vertAlign w:val="superscript"/>
              </w:rPr>
            </w:pPr>
            <w:r>
              <w:t>15 db/m</w:t>
            </w:r>
            <w:r>
              <w:rPr>
                <w:vertAlign w:val="superscript"/>
              </w:rPr>
              <w:t>3</w:t>
            </w:r>
          </w:p>
          <w:p w:rsidR="00374F11" w:rsidRDefault="009B26BF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vertAlign w:val="superscript"/>
              </w:rPr>
            </w:pPr>
            <w:r>
              <w:t>10 db/m³ 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vertAlign w:val="superscript"/>
              </w:rPr>
            </w:pPr>
            <w:r>
              <w:t>25 db/m³ 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vertAlign w:val="superscript"/>
              </w:rPr>
            </w:pPr>
            <w:r>
              <w:t>1</w:t>
            </w:r>
            <w:r w:rsidR="00161084">
              <w:t>1</w:t>
            </w:r>
            <w:r>
              <w:t>db/m³ 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vertAlign w:val="superscript"/>
              </w:rPr>
            </w:pPr>
            <w:r>
              <w:t>1</w:t>
            </w:r>
            <w:r w:rsidR="00161084">
              <w:t>3</w:t>
            </w:r>
            <w:r>
              <w:t xml:space="preserve"> db/m</w:t>
            </w:r>
            <w:r>
              <w:rPr>
                <w:vertAlign w:val="superscript"/>
              </w:rPr>
              <w:t>3</w:t>
            </w:r>
          </w:p>
          <w:p w:rsidR="00374F11" w:rsidRDefault="009B26BF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vertAlign w:val="superscript"/>
              </w:rPr>
            </w:pPr>
            <w:r>
              <w:t>2</w:t>
            </w:r>
            <w:r w:rsidR="00161084">
              <w:t>1</w:t>
            </w:r>
            <w:r>
              <w:t xml:space="preserve"> db/m</w:t>
            </w:r>
            <w:r>
              <w:rPr>
                <w:vertAlign w:val="superscript"/>
              </w:rPr>
              <w:t>3</w:t>
            </w:r>
          </w:p>
          <w:p w:rsidR="00374F11" w:rsidRDefault="009B26BF">
            <w:pPr>
              <w:widowControl w:val="0"/>
              <w:jc w:val="center"/>
            </w:pPr>
            <w:r>
              <w:t>(közepes)</w:t>
            </w:r>
          </w:p>
        </w:tc>
      </w:tr>
    </w:tbl>
    <w:p w:rsidR="00374F11" w:rsidRDefault="009B26BF">
      <w:pPr>
        <w:spacing w:before="120"/>
        <w:jc w:val="center"/>
        <w:rPr>
          <w:b/>
        </w:rPr>
      </w:pPr>
      <w:r>
        <w:rPr>
          <w:noProof/>
        </w:rPr>
        <w:drawing>
          <wp:inline distT="0" distB="0" distL="0" distR="0">
            <wp:extent cx="895350" cy="1371600"/>
            <wp:effectExtent l="0" t="0" r="0" b="0"/>
            <wp:docPr id="1" name="Ké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>
            <wp:extent cx="838200" cy="1371600"/>
            <wp:effectExtent l="0" t="0" r="0" b="0"/>
            <wp:docPr id="2" name="Ké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>
            <wp:extent cx="885825" cy="1371600"/>
            <wp:effectExtent l="0" t="0" r="0" b="0"/>
            <wp:docPr id="3" name="Kép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F11" w:rsidRDefault="009B26BF">
      <w:pPr>
        <w:jc w:val="both"/>
        <w:rPr>
          <w:b/>
        </w:rPr>
      </w:pPr>
      <w:r>
        <w:rPr>
          <w:b/>
        </w:rPr>
        <w:lastRenderedPageBreak/>
        <w:t>Csalánfélék</w:t>
      </w:r>
      <w:r>
        <w:t xml:space="preserve"> </w:t>
      </w:r>
      <w:r>
        <w:rPr>
          <w:b/>
          <w:bCs/>
        </w:rPr>
        <w:t xml:space="preserve">(erősen allergén) </w:t>
      </w:r>
    </w:p>
    <w:p w:rsidR="00374F11" w:rsidRDefault="00374F11">
      <w:pPr>
        <w:jc w:val="both"/>
        <w:rPr>
          <w:b/>
        </w:rPr>
      </w:pPr>
    </w:p>
    <w:tbl>
      <w:tblPr>
        <w:tblW w:w="9206" w:type="dxa"/>
        <w:tblInd w:w="221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374F11" w:rsidTr="00C27764">
        <w:trPr>
          <w:trHeight w:val="615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374F11" w:rsidTr="00C27764">
        <w:trPr>
          <w:trHeight w:val="649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vertAlign w:val="superscript"/>
              </w:rPr>
            </w:pPr>
            <w:r>
              <w:t>37 db/m</w:t>
            </w:r>
            <w:r>
              <w:rPr>
                <w:vertAlign w:val="superscript"/>
              </w:rPr>
              <w:t>3</w:t>
            </w:r>
          </w:p>
          <w:p w:rsidR="00374F11" w:rsidRDefault="009B26BF">
            <w:pPr>
              <w:widowControl w:val="0"/>
              <w:jc w:val="center"/>
            </w:pPr>
            <w:r>
              <w:t>(</w:t>
            </w:r>
            <w:r w:rsidR="0049588E">
              <w:t>közepes</w:t>
            </w:r>
            <w: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vertAlign w:val="superscript"/>
              </w:rPr>
            </w:pPr>
            <w:r>
              <w:t>59 db/m</w:t>
            </w:r>
            <w:r>
              <w:rPr>
                <w:vertAlign w:val="superscript"/>
              </w:rPr>
              <w:t>3</w:t>
            </w:r>
          </w:p>
          <w:p w:rsidR="00374F11" w:rsidRDefault="0049588E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vertAlign w:val="superscript"/>
              </w:rPr>
            </w:pPr>
            <w:r>
              <w:t>77 db/m</w:t>
            </w:r>
            <w:r>
              <w:rPr>
                <w:vertAlign w:val="superscript"/>
              </w:rPr>
              <w:t>3</w:t>
            </w:r>
          </w:p>
          <w:p w:rsidR="00374F11" w:rsidRDefault="0049588E">
            <w:pPr>
              <w:widowControl w:val="0"/>
              <w:jc w:val="center"/>
              <w:rPr>
                <w:vertAlign w:val="superscript"/>
              </w:rPr>
            </w:pPr>
            <w:r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vertAlign w:val="superscript"/>
              </w:rPr>
            </w:pPr>
            <w:r>
              <w:t>88 db/m</w:t>
            </w:r>
            <w:r>
              <w:rPr>
                <w:vertAlign w:val="superscript"/>
              </w:rPr>
              <w:t>3</w:t>
            </w:r>
          </w:p>
          <w:p w:rsidR="00374F11" w:rsidRDefault="0049588E">
            <w:pPr>
              <w:widowControl w:val="0"/>
              <w:jc w:val="center"/>
              <w:rPr>
                <w:vertAlign w:val="superscript"/>
              </w:rPr>
            </w:pPr>
            <w:r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C27764">
            <w:pPr>
              <w:widowControl w:val="0"/>
              <w:jc w:val="center"/>
              <w:rPr>
                <w:vertAlign w:val="superscript"/>
              </w:rPr>
            </w:pPr>
            <w:r>
              <w:t>52</w:t>
            </w:r>
            <w:r w:rsidR="009B26BF">
              <w:t xml:space="preserve"> db/m</w:t>
            </w:r>
            <w:r w:rsidR="009B26BF">
              <w:rPr>
                <w:vertAlign w:val="superscript"/>
              </w:rPr>
              <w:t>3</w:t>
            </w:r>
          </w:p>
          <w:p w:rsidR="00374F11" w:rsidRDefault="0049588E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C27764">
            <w:pPr>
              <w:widowControl w:val="0"/>
              <w:jc w:val="center"/>
              <w:rPr>
                <w:vertAlign w:val="superscript"/>
              </w:rPr>
            </w:pPr>
            <w:r>
              <w:t>19</w:t>
            </w:r>
            <w:r w:rsidR="009B26BF">
              <w:t xml:space="preserve"> db/m</w:t>
            </w:r>
            <w:r w:rsidR="009B26BF">
              <w:rPr>
                <w:vertAlign w:val="superscript"/>
              </w:rPr>
              <w:t>3</w:t>
            </w:r>
          </w:p>
          <w:p w:rsidR="00374F11" w:rsidRDefault="0049588E">
            <w:pPr>
              <w:widowControl w:val="0"/>
              <w:jc w:val="center"/>
              <w:rPr>
                <w:vertAlign w:val="superscript"/>
              </w:rPr>
            </w:pPr>
            <w:r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C27764">
            <w:pPr>
              <w:widowControl w:val="0"/>
              <w:jc w:val="center"/>
              <w:rPr>
                <w:vertAlign w:val="superscript"/>
              </w:rPr>
            </w:pPr>
            <w:r>
              <w:t>38</w:t>
            </w:r>
            <w:r w:rsidR="009B26BF">
              <w:t xml:space="preserve"> db/m</w:t>
            </w:r>
            <w:r w:rsidR="009B26BF">
              <w:rPr>
                <w:vertAlign w:val="superscript"/>
              </w:rPr>
              <w:t>3</w:t>
            </w:r>
          </w:p>
          <w:p w:rsidR="00374F11" w:rsidRDefault="0049588E">
            <w:pPr>
              <w:widowControl w:val="0"/>
              <w:jc w:val="center"/>
              <w:rPr>
                <w:vertAlign w:val="superscript"/>
              </w:rPr>
            </w:pPr>
            <w:r>
              <w:t>(közepes)</w:t>
            </w:r>
          </w:p>
        </w:tc>
      </w:tr>
    </w:tbl>
    <w:p w:rsidR="00374F11" w:rsidRDefault="009B26BF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496060" cy="1200785"/>
            <wp:effectExtent l="0" t="0" r="0" b="0"/>
            <wp:docPr id="4" name="irc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>
            <wp:extent cx="943610" cy="1381760"/>
            <wp:effectExtent l="0" t="0" r="0" b="0"/>
            <wp:docPr id="5" name="Ké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F11" w:rsidRDefault="00374F11">
      <w:pPr>
        <w:jc w:val="both"/>
        <w:rPr>
          <w:b/>
        </w:rPr>
      </w:pPr>
    </w:p>
    <w:p w:rsidR="00374F11" w:rsidRDefault="00374F11">
      <w:pPr>
        <w:jc w:val="both"/>
        <w:rPr>
          <w:b/>
        </w:rPr>
      </w:pPr>
    </w:p>
    <w:p w:rsidR="00374F11" w:rsidRDefault="009B26BF">
      <w:pPr>
        <w:jc w:val="both"/>
        <w:rPr>
          <w:b/>
        </w:rPr>
      </w:pPr>
      <w:r>
        <w:rPr>
          <w:b/>
        </w:rPr>
        <w:t xml:space="preserve">Útifű fajok (erősen allergén)  </w:t>
      </w:r>
    </w:p>
    <w:p w:rsidR="009B26BF" w:rsidRDefault="009B26BF">
      <w:pPr>
        <w:jc w:val="both"/>
        <w:rPr>
          <w:b/>
        </w:rPr>
      </w:pPr>
    </w:p>
    <w:tbl>
      <w:tblPr>
        <w:tblW w:w="9206" w:type="dxa"/>
        <w:tblInd w:w="221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374F11" w:rsidTr="00600DB5">
        <w:trPr>
          <w:trHeight w:val="615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600DB5" w:rsidTr="00600DB5">
        <w:trPr>
          <w:trHeight w:val="649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DB5" w:rsidRDefault="00600DB5" w:rsidP="00600DB5">
            <w:pPr>
              <w:widowControl w:val="0"/>
              <w:jc w:val="center"/>
              <w:rPr>
                <w:vertAlign w:val="superscript"/>
              </w:rPr>
            </w:pPr>
            <w:r>
              <w:t>5 db/m</w:t>
            </w:r>
            <w:r>
              <w:rPr>
                <w:vertAlign w:val="superscript"/>
              </w:rPr>
              <w:t>3</w:t>
            </w:r>
          </w:p>
          <w:p w:rsidR="00600DB5" w:rsidRDefault="00600DB5" w:rsidP="00600DB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DB5" w:rsidRDefault="00600DB5" w:rsidP="00600DB5">
            <w:pPr>
              <w:widowControl w:val="0"/>
              <w:jc w:val="center"/>
              <w:rPr>
                <w:vertAlign w:val="superscript"/>
              </w:rPr>
            </w:pPr>
            <w:r>
              <w:t>8 db/m</w:t>
            </w:r>
            <w:r>
              <w:rPr>
                <w:vertAlign w:val="superscript"/>
              </w:rPr>
              <w:t>3</w:t>
            </w:r>
          </w:p>
          <w:p w:rsidR="00600DB5" w:rsidRDefault="00600DB5" w:rsidP="00600DB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DB5" w:rsidRDefault="00600DB5" w:rsidP="00600DB5">
            <w:pPr>
              <w:widowControl w:val="0"/>
              <w:jc w:val="center"/>
              <w:rPr>
                <w:vertAlign w:val="superscript"/>
              </w:rPr>
            </w:pPr>
            <w:r>
              <w:t>15 db/m</w:t>
            </w:r>
            <w:r>
              <w:rPr>
                <w:vertAlign w:val="superscript"/>
              </w:rPr>
              <w:t>3</w:t>
            </w:r>
          </w:p>
          <w:p w:rsidR="00600DB5" w:rsidRDefault="00600DB5" w:rsidP="00600DB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DB5" w:rsidRDefault="00600DB5" w:rsidP="00600DB5">
            <w:pPr>
              <w:widowControl w:val="0"/>
              <w:jc w:val="center"/>
              <w:rPr>
                <w:vertAlign w:val="superscript"/>
              </w:rPr>
            </w:pPr>
            <w:r>
              <w:t>8 db/m</w:t>
            </w:r>
            <w:r>
              <w:rPr>
                <w:vertAlign w:val="superscript"/>
              </w:rPr>
              <w:t>3</w:t>
            </w:r>
          </w:p>
          <w:p w:rsidR="00600DB5" w:rsidRDefault="00600DB5" w:rsidP="00600DB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DB5" w:rsidRDefault="00600DB5" w:rsidP="00600DB5">
            <w:pPr>
              <w:widowControl w:val="0"/>
              <w:jc w:val="center"/>
              <w:rPr>
                <w:vertAlign w:val="superscript"/>
              </w:rPr>
            </w:pPr>
            <w:r>
              <w:t>5 db/m</w:t>
            </w:r>
            <w:r>
              <w:rPr>
                <w:vertAlign w:val="superscript"/>
              </w:rPr>
              <w:t>3</w:t>
            </w:r>
          </w:p>
          <w:p w:rsidR="00600DB5" w:rsidRDefault="00600DB5" w:rsidP="00600DB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DB5" w:rsidRDefault="00600DB5" w:rsidP="00600DB5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DB5" w:rsidRDefault="00600DB5" w:rsidP="00600DB5">
            <w:pPr>
              <w:widowControl w:val="0"/>
              <w:jc w:val="center"/>
              <w:rPr>
                <w:vertAlign w:val="superscript"/>
              </w:rPr>
            </w:pPr>
            <w:r>
              <w:t>4 db/m</w:t>
            </w:r>
            <w:r>
              <w:rPr>
                <w:vertAlign w:val="superscript"/>
              </w:rPr>
              <w:t>3</w:t>
            </w:r>
          </w:p>
          <w:p w:rsidR="00600DB5" w:rsidRDefault="00600DB5" w:rsidP="00600DB5">
            <w:pPr>
              <w:widowControl w:val="0"/>
              <w:jc w:val="center"/>
              <w:rPr>
                <w:vertAlign w:val="superscript"/>
              </w:rPr>
            </w:pPr>
            <w:r>
              <w:t>(alacsony)</w:t>
            </w:r>
          </w:p>
        </w:tc>
      </w:tr>
    </w:tbl>
    <w:p w:rsidR="00374F11" w:rsidRDefault="00374F11">
      <w:pPr>
        <w:jc w:val="center"/>
      </w:pPr>
    </w:p>
    <w:p w:rsidR="00374F11" w:rsidRDefault="009B26BF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038225" cy="1390650"/>
            <wp:effectExtent l="0" t="0" r="0" b="0"/>
            <wp:docPr id="6" name="Ké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>
            <wp:extent cx="1752600" cy="1143000"/>
            <wp:effectExtent l="0" t="0" r="0" b="0"/>
            <wp:docPr id="7" name="Ké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>
            <wp:extent cx="1076325" cy="1438275"/>
            <wp:effectExtent l="0" t="0" r="0" b="0"/>
            <wp:docPr id="8" name="Ké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F11" w:rsidRDefault="00374F11">
      <w:pPr>
        <w:jc w:val="both"/>
        <w:rPr>
          <w:b/>
        </w:rPr>
      </w:pPr>
    </w:p>
    <w:p w:rsidR="009B26BF" w:rsidRDefault="009B26BF">
      <w:pPr>
        <w:rPr>
          <w:b/>
        </w:rPr>
      </w:pPr>
    </w:p>
    <w:p w:rsidR="00374F11" w:rsidRDefault="009B26BF">
      <w:pPr>
        <w:rPr>
          <w:b/>
        </w:rPr>
      </w:pPr>
      <w:r>
        <w:rPr>
          <w:b/>
        </w:rPr>
        <w:t xml:space="preserve">Ciprus- és tiszafafélék (közepesen allergén) </w:t>
      </w:r>
    </w:p>
    <w:p w:rsidR="009B26BF" w:rsidRDefault="009B26BF">
      <w:pPr>
        <w:rPr>
          <w:b/>
        </w:rPr>
      </w:pPr>
    </w:p>
    <w:tbl>
      <w:tblPr>
        <w:tblW w:w="9206" w:type="dxa"/>
        <w:tblInd w:w="221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374F11" w:rsidTr="00600DB5">
        <w:trPr>
          <w:trHeight w:val="615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374F11" w:rsidTr="00600DB5">
        <w:trPr>
          <w:trHeight w:val="649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</w:pPr>
            <w:r>
              <w:t>4 db/m³ 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</w:pPr>
            <w:r>
              <w:t>1 db/m³ 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</w:pPr>
            <w:r>
              <w:t>2 db/m</w:t>
            </w:r>
            <w:r>
              <w:rPr>
                <w:vertAlign w:val="superscript"/>
              </w:rPr>
              <w:t>3</w:t>
            </w:r>
          </w:p>
          <w:p w:rsidR="00374F11" w:rsidRDefault="009B26B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9B26BF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600DB5">
            <w:pPr>
              <w:widowControl w:val="0"/>
              <w:jc w:val="center"/>
              <w:rPr>
                <w:color w:val="FF0000"/>
              </w:rPr>
            </w:pPr>
            <w:r>
              <w:t>1 db/m³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600DB5">
            <w:pPr>
              <w:widowControl w:val="0"/>
              <w:jc w:val="center"/>
            </w:pPr>
            <w:r>
              <w:t>14</w:t>
            </w:r>
            <w:r w:rsidR="009B26BF">
              <w:t xml:space="preserve"> db/m³ </w:t>
            </w:r>
          </w:p>
          <w:p w:rsidR="00600DB5" w:rsidRDefault="00600DB5">
            <w:pPr>
              <w:widowControl w:val="0"/>
              <w:jc w:val="center"/>
            </w:pPr>
            <w:r>
              <w:t>(közepes</w:t>
            </w:r>
            <w:r w:rsidR="009B26BF"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F11" w:rsidRDefault="00600DB5">
            <w:pPr>
              <w:widowControl w:val="0"/>
              <w:jc w:val="center"/>
              <w:rPr>
                <w:vertAlign w:val="superscript"/>
              </w:rPr>
            </w:pPr>
            <w:r>
              <w:t>5</w:t>
            </w:r>
            <w:r w:rsidR="009B26BF">
              <w:t xml:space="preserve"> db/m³ (</w:t>
            </w:r>
            <w:r>
              <w:t>alacsony</w:t>
            </w:r>
            <w:r w:rsidR="009B26BF">
              <w:t>)</w:t>
            </w:r>
          </w:p>
        </w:tc>
      </w:tr>
    </w:tbl>
    <w:p w:rsidR="00374F11" w:rsidRDefault="00374F11">
      <w:pPr>
        <w:jc w:val="center"/>
      </w:pPr>
    </w:p>
    <w:p w:rsidR="00374F11" w:rsidRDefault="009B26BF">
      <w:pPr>
        <w:jc w:val="center"/>
      </w:pPr>
      <w:r>
        <w:rPr>
          <w:noProof/>
        </w:rPr>
        <w:drawing>
          <wp:inline distT="0" distB="0" distL="0" distR="0">
            <wp:extent cx="1562735" cy="1172210"/>
            <wp:effectExtent l="0" t="0" r="0" b="0"/>
            <wp:docPr id="9" name="Ké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819910" cy="1181735"/>
            <wp:effectExtent l="0" t="0" r="0" b="0"/>
            <wp:docPr id="10" name="Ké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BF" w:rsidRDefault="009B26BF">
      <w:pPr>
        <w:rPr>
          <w:b/>
        </w:rPr>
      </w:pPr>
    </w:p>
    <w:p w:rsidR="00374F11" w:rsidRDefault="009B26BF">
      <w:pPr>
        <w:rPr>
          <w:b/>
        </w:rPr>
      </w:pPr>
      <w:r>
        <w:rPr>
          <w:b/>
        </w:rPr>
        <w:lastRenderedPageBreak/>
        <w:t>Kenderfélék (gyengén allergén)</w:t>
      </w:r>
    </w:p>
    <w:p w:rsidR="009B26BF" w:rsidRDefault="009B26BF"/>
    <w:tbl>
      <w:tblPr>
        <w:tblW w:w="9206" w:type="dxa"/>
        <w:tblInd w:w="221" w:type="dxa"/>
        <w:tblLayout w:type="fixed"/>
        <w:tblLook w:val="01E0" w:firstRow="1" w:lastRow="1" w:firstColumn="1" w:lastColumn="1" w:noHBand="0" w:noVBand="0"/>
      </w:tblPr>
      <w:tblGrid>
        <w:gridCol w:w="1251"/>
        <w:gridCol w:w="1245"/>
        <w:gridCol w:w="1256"/>
        <w:gridCol w:w="1458"/>
        <w:gridCol w:w="1261"/>
        <w:gridCol w:w="1449"/>
        <w:gridCol w:w="1286"/>
      </w:tblGrid>
      <w:tr w:rsidR="00374F11" w:rsidTr="00320360">
        <w:trPr>
          <w:trHeight w:val="615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374F11" w:rsidTr="00320360">
        <w:trPr>
          <w:trHeight w:val="649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</w:pPr>
            <w:r>
              <w:t>4 db/m</w:t>
            </w:r>
            <w:r>
              <w:rPr>
                <w:vertAlign w:val="superscript"/>
              </w:rPr>
              <w:t>3</w:t>
            </w:r>
          </w:p>
          <w:p w:rsidR="00374F11" w:rsidRDefault="009B26B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</w:pPr>
            <w:r>
              <w:t>2 db/m</w:t>
            </w:r>
            <w:r>
              <w:rPr>
                <w:vertAlign w:val="superscript"/>
              </w:rPr>
              <w:t>3</w:t>
            </w:r>
          </w:p>
          <w:p w:rsidR="00374F11" w:rsidRDefault="009B26B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</w:pPr>
            <w:r>
              <w:t>4 db/m</w:t>
            </w:r>
            <w:r>
              <w:rPr>
                <w:vertAlign w:val="superscript"/>
              </w:rPr>
              <w:t>3</w:t>
            </w:r>
          </w:p>
          <w:p w:rsidR="00374F11" w:rsidRDefault="009B26B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</w:pPr>
            <w:r>
              <w:t>4 db/m</w:t>
            </w:r>
            <w:r>
              <w:rPr>
                <w:vertAlign w:val="superscript"/>
              </w:rPr>
              <w:t>3</w:t>
            </w:r>
          </w:p>
          <w:p w:rsidR="00374F11" w:rsidRDefault="009B26B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9B26BF">
            <w:pPr>
              <w:widowControl w:val="0"/>
              <w:jc w:val="center"/>
            </w:pPr>
            <w:r>
              <w:t>1 db/m</w:t>
            </w:r>
            <w:r>
              <w:rPr>
                <w:vertAlign w:val="superscript"/>
              </w:rPr>
              <w:t>3</w:t>
            </w:r>
          </w:p>
          <w:p w:rsidR="00374F11" w:rsidRDefault="009B26B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320360">
            <w:pPr>
              <w:widowControl w:val="0"/>
              <w:jc w:val="center"/>
            </w:pPr>
            <w:r>
              <w:t>2</w:t>
            </w:r>
            <w:r w:rsidR="009B26BF">
              <w:t xml:space="preserve"> db/m</w:t>
            </w:r>
            <w:r w:rsidR="009B26BF">
              <w:rPr>
                <w:vertAlign w:val="superscript"/>
              </w:rPr>
              <w:t>3</w:t>
            </w:r>
          </w:p>
          <w:p w:rsidR="00374F11" w:rsidRDefault="009B26B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F11" w:rsidRDefault="00320360">
            <w:pPr>
              <w:widowControl w:val="0"/>
              <w:jc w:val="center"/>
            </w:pPr>
            <w:r>
              <w:t>5</w:t>
            </w:r>
            <w:r w:rsidR="009B26BF">
              <w:t xml:space="preserve"> db/m</w:t>
            </w:r>
            <w:r w:rsidR="009B26BF">
              <w:rPr>
                <w:vertAlign w:val="superscript"/>
              </w:rPr>
              <w:t>3</w:t>
            </w:r>
          </w:p>
          <w:p w:rsidR="00374F11" w:rsidRDefault="009B26BF">
            <w:pPr>
              <w:widowControl w:val="0"/>
              <w:jc w:val="center"/>
            </w:pPr>
            <w:r>
              <w:t>(alacsony)</w:t>
            </w:r>
          </w:p>
        </w:tc>
      </w:tr>
    </w:tbl>
    <w:p w:rsidR="00374F11" w:rsidRDefault="00374F11">
      <w:pPr>
        <w:rPr>
          <w:b/>
        </w:rPr>
      </w:pPr>
    </w:p>
    <w:p w:rsidR="00374F11" w:rsidRDefault="009B26BF">
      <w:pPr>
        <w:jc w:val="center"/>
        <w:rPr>
          <w:b/>
        </w:rPr>
      </w:pPr>
      <w:r>
        <w:rPr>
          <w:b/>
          <w:noProof/>
          <w:highlight w:val="yellow"/>
        </w:rPr>
        <w:drawing>
          <wp:inline distT="0" distB="0" distL="0" distR="0">
            <wp:extent cx="1677035" cy="1248410"/>
            <wp:effectExtent l="0" t="0" r="0" b="0"/>
            <wp:docPr id="11" name="Kép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676520" cy="12477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highlight w:val="yellow"/>
        </w:rPr>
        <w:t xml:space="preserve">   </w:t>
      </w:r>
      <w:r>
        <w:rPr>
          <w:b/>
          <w:noProof/>
          <w:highlight w:val="yellow"/>
        </w:rPr>
        <w:drawing>
          <wp:inline distT="0" distB="0" distL="0" distR="0">
            <wp:extent cx="1657985" cy="1248410"/>
            <wp:effectExtent l="0" t="0" r="0" b="0"/>
            <wp:docPr id="12" name="Kép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657440" cy="12477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374F11" w:rsidRDefault="00374F11">
      <w:pPr>
        <w:jc w:val="both"/>
        <w:rPr>
          <w:b/>
        </w:rPr>
      </w:pPr>
    </w:p>
    <w:p w:rsidR="00374F11" w:rsidRDefault="00374F11">
      <w:pPr>
        <w:jc w:val="both"/>
        <w:rPr>
          <w:b/>
        </w:rPr>
      </w:pPr>
    </w:p>
    <w:p w:rsidR="00374F11" w:rsidRDefault="00374F11">
      <w:pPr>
        <w:jc w:val="both"/>
      </w:pPr>
    </w:p>
    <w:p w:rsidR="00374F11" w:rsidRDefault="009B26BF">
      <w:pPr>
        <w:jc w:val="both"/>
      </w:pPr>
      <w:r>
        <w:t>A fák és a bokrok a levegőben lévő pollenszemeik mennyisége alapján a következő légköri allergén kategóriákba sorolhatóak be:</w:t>
      </w:r>
    </w:p>
    <w:p w:rsidR="00374F11" w:rsidRDefault="00374F11">
      <w:pPr>
        <w:jc w:val="both"/>
      </w:pPr>
    </w:p>
    <w:p w:rsidR="00374F11" w:rsidRDefault="009B26BF">
      <w:pPr>
        <w:jc w:val="both"/>
      </w:pPr>
      <w:r>
        <w:rPr>
          <w:u w:val="single"/>
        </w:rPr>
        <w:t>Fák</w:t>
      </w:r>
      <w:r w:rsidR="004A2612">
        <w:rPr>
          <w:u w:val="single"/>
        </w:rPr>
        <w:t>,</w:t>
      </w:r>
      <w:r>
        <w:rPr>
          <w:u w:val="single"/>
        </w:rPr>
        <w:t xml:space="preserve"> bokrok</w:t>
      </w:r>
      <w:r w:rsidR="00064F4F">
        <w:rPr>
          <w:u w:val="single"/>
        </w:rPr>
        <w:t xml:space="preserve"> és csalánfélék</w:t>
      </w:r>
      <w:r>
        <w:t>:</w:t>
      </w:r>
    </w:p>
    <w:p w:rsidR="00374F11" w:rsidRDefault="00374F11">
      <w:pPr>
        <w:jc w:val="both"/>
      </w:pPr>
    </w:p>
    <w:tbl>
      <w:tblPr>
        <w:tblW w:w="4860" w:type="dxa"/>
        <w:jc w:val="center"/>
        <w:tblLayout w:type="fixed"/>
        <w:tblLook w:val="0000" w:firstRow="0" w:lastRow="0" w:firstColumn="0" w:lastColumn="0" w:noHBand="0" w:noVBand="0"/>
      </w:tblPr>
      <w:tblGrid>
        <w:gridCol w:w="3016"/>
        <w:gridCol w:w="1844"/>
      </w:tblGrid>
      <w:tr w:rsidR="00374F11">
        <w:trPr>
          <w:trHeight w:val="297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F11" w:rsidRDefault="009B26BF">
            <w:pPr>
              <w:widowControl w:val="0"/>
              <w:jc w:val="center"/>
            </w:pPr>
            <w:r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F11" w:rsidRDefault="009B26BF">
            <w:pPr>
              <w:widowControl w:val="0"/>
              <w:jc w:val="center"/>
            </w:pPr>
            <w:r>
              <w:t>0 – 10 db/m</w:t>
            </w:r>
            <w:r>
              <w:rPr>
                <w:vertAlign w:val="superscript"/>
              </w:rPr>
              <w:t>3</w:t>
            </w:r>
          </w:p>
        </w:tc>
      </w:tr>
      <w:tr w:rsidR="00374F11">
        <w:trPr>
          <w:trHeight w:val="297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F11" w:rsidRDefault="009B26BF">
            <w:pPr>
              <w:widowControl w:val="0"/>
              <w:jc w:val="center"/>
            </w:pPr>
            <w:r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F11" w:rsidRDefault="009B26BF">
            <w:pPr>
              <w:widowControl w:val="0"/>
              <w:jc w:val="center"/>
            </w:pPr>
            <w:r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 w:rsidR="00374F11">
        <w:trPr>
          <w:trHeight w:val="297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F11" w:rsidRDefault="009B26BF">
            <w:pPr>
              <w:widowControl w:val="0"/>
              <w:jc w:val="center"/>
            </w:pPr>
            <w:r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F11" w:rsidRDefault="009B26BF">
            <w:pPr>
              <w:widowControl w:val="0"/>
              <w:jc w:val="center"/>
            </w:pPr>
            <w:r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 w:rsidR="00374F11">
        <w:trPr>
          <w:trHeight w:val="311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F11" w:rsidRDefault="009B26BF">
            <w:pPr>
              <w:widowControl w:val="0"/>
              <w:jc w:val="center"/>
            </w:pPr>
            <w:r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F11" w:rsidRDefault="009B26BF">
            <w:pPr>
              <w:widowControl w:val="0"/>
              <w:jc w:val="center"/>
            </w:pPr>
            <w:r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 w:rsidR="00374F11" w:rsidRDefault="00374F11">
      <w:pPr>
        <w:jc w:val="center"/>
      </w:pPr>
    </w:p>
    <w:p w:rsidR="00374F11" w:rsidRDefault="00374F11">
      <w:pPr>
        <w:rPr>
          <w:u w:val="single"/>
        </w:rPr>
      </w:pPr>
    </w:p>
    <w:p w:rsidR="00374F11" w:rsidRDefault="009B26BF">
      <w:r>
        <w:rPr>
          <w:u w:val="single"/>
        </w:rPr>
        <w:t>Fűfélék</w:t>
      </w:r>
      <w:r>
        <w:t>:</w:t>
      </w:r>
    </w:p>
    <w:p w:rsidR="00374F11" w:rsidRDefault="00374F11"/>
    <w:tbl>
      <w:tblPr>
        <w:tblW w:w="4860" w:type="dxa"/>
        <w:jc w:val="center"/>
        <w:tblLayout w:type="fixed"/>
        <w:tblLook w:val="01E0" w:firstRow="1" w:lastRow="1" w:firstColumn="1" w:lastColumn="1" w:noHBand="0" w:noVBand="0"/>
      </w:tblPr>
      <w:tblGrid>
        <w:gridCol w:w="3014"/>
        <w:gridCol w:w="1846"/>
      </w:tblGrid>
      <w:tr w:rsidR="00374F11">
        <w:trPr>
          <w:trHeight w:val="297"/>
          <w:jc w:val="center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F11" w:rsidRDefault="009B26BF">
            <w:pPr>
              <w:widowControl w:val="0"/>
              <w:jc w:val="both"/>
            </w:pPr>
            <w:r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F11" w:rsidRDefault="009B26BF">
            <w:pPr>
              <w:widowControl w:val="0"/>
              <w:jc w:val="both"/>
            </w:pPr>
            <w:r>
              <w:t>0 – 10 db/m</w:t>
            </w:r>
            <w:r>
              <w:rPr>
                <w:vertAlign w:val="superscript"/>
              </w:rPr>
              <w:t>3</w:t>
            </w:r>
          </w:p>
        </w:tc>
      </w:tr>
      <w:tr w:rsidR="00374F11">
        <w:trPr>
          <w:trHeight w:val="297"/>
          <w:jc w:val="center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F11" w:rsidRDefault="009B26BF">
            <w:pPr>
              <w:widowControl w:val="0"/>
            </w:pPr>
            <w:r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F11" w:rsidRDefault="009B26BF">
            <w:pPr>
              <w:widowControl w:val="0"/>
              <w:jc w:val="both"/>
            </w:pPr>
            <w:r>
              <w:t>11 – 30 db/m</w:t>
            </w:r>
            <w:r>
              <w:rPr>
                <w:vertAlign w:val="superscript"/>
              </w:rPr>
              <w:t>3</w:t>
            </w:r>
          </w:p>
        </w:tc>
      </w:tr>
      <w:tr w:rsidR="00374F11">
        <w:trPr>
          <w:trHeight w:val="297"/>
          <w:jc w:val="center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F11" w:rsidRDefault="009B26BF">
            <w:pPr>
              <w:widowControl w:val="0"/>
              <w:jc w:val="both"/>
            </w:pPr>
            <w:r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F11" w:rsidRDefault="009B26BF">
            <w:pPr>
              <w:widowControl w:val="0"/>
              <w:jc w:val="both"/>
            </w:pPr>
            <w:r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 w:rsidR="00374F11">
        <w:trPr>
          <w:trHeight w:val="311"/>
          <w:jc w:val="center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F11" w:rsidRDefault="009B26BF">
            <w:pPr>
              <w:widowControl w:val="0"/>
              <w:jc w:val="both"/>
            </w:pPr>
            <w:r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F11" w:rsidRDefault="009B26BF">
            <w:pPr>
              <w:widowControl w:val="0"/>
              <w:jc w:val="both"/>
            </w:pPr>
            <w:r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 w:rsidR="00374F11" w:rsidRDefault="00374F11">
      <w:pPr>
        <w:jc w:val="both"/>
      </w:pPr>
    </w:p>
    <w:p w:rsidR="00374F11" w:rsidRDefault="00374F11">
      <w:pPr>
        <w:jc w:val="both"/>
      </w:pPr>
    </w:p>
    <w:p w:rsidR="00374F11" w:rsidRDefault="009B26BF">
      <w:pPr>
        <w:jc w:val="both"/>
      </w:pPr>
      <w:r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 w:rsidR="00374F11" w:rsidRDefault="00374F11">
      <w:pPr>
        <w:jc w:val="both"/>
      </w:pPr>
    </w:p>
    <w:p w:rsidR="009B26BF" w:rsidRDefault="009B26BF"/>
    <w:p w:rsidR="009B26BF" w:rsidRDefault="009B26BF"/>
    <w:p w:rsidR="00374F11" w:rsidRDefault="009B26BF">
      <w:r>
        <w:t>Szeged, 2024. július 9.</w:t>
      </w:r>
    </w:p>
    <w:sectPr w:rsidR="00374F11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4F11"/>
    <w:rsid w:val="00064F4F"/>
    <w:rsid w:val="000E7CCA"/>
    <w:rsid w:val="00161084"/>
    <w:rsid w:val="00320360"/>
    <w:rsid w:val="00374F11"/>
    <w:rsid w:val="0049588E"/>
    <w:rsid w:val="004A2612"/>
    <w:rsid w:val="004F0E3E"/>
    <w:rsid w:val="00600DB5"/>
    <w:rsid w:val="007D5588"/>
    <w:rsid w:val="009B26BF"/>
    <w:rsid w:val="00C2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B0485"/>
  <w15:docId w15:val="{4F2D7B06-D187-4672-975D-89B63E539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Arial"/>
        <w:sz w:val="24"/>
        <w:szCs w:val="24"/>
        <w:lang w:val="hu-H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Tblzattartalom">
    <w:name w:val="Táblázattartalom"/>
    <w:basedOn w:val="Norml"/>
    <w:qFormat/>
    <w:pPr>
      <w:widowControl w:val="0"/>
      <w:suppressLineNumbers/>
    </w:pPr>
  </w:style>
  <w:style w:type="paragraph" w:customStyle="1" w:styleId="Tblzatfejlc">
    <w:name w:val="Táblázatfejléc"/>
    <w:basedOn w:val="Tblzattartalom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458</Words>
  <Characters>3163</Characters>
  <Application>Microsoft Office Word</Application>
  <DocSecurity>0</DocSecurity>
  <Lines>26</Lines>
  <Paragraphs>7</Paragraphs>
  <ScaleCrop>false</ScaleCrop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Pollen helyzet 2017</dc:title>
  <dc:subject/>
  <dc:creator>Apatini Dóra</dc:creator>
  <dc:description/>
  <cp:lastModifiedBy>BORSOS ERIKA</cp:lastModifiedBy>
  <cp:revision>80</cp:revision>
  <cp:lastPrinted>2023-05-15T10:23:00Z</cp:lastPrinted>
  <dcterms:created xsi:type="dcterms:W3CDTF">2024-05-06T19:49:00Z</dcterms:created>
  <dcterms:modified xsi:type="dcterms:W3CDTF">2024-07-09T11:16:00Z</dcterms:modified>
  <dc:language>hu-HU</dc:language>
</cp:coreProperties>
</file>