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2026. 9.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 xml:space="preserve">A szegedi monitorozó állomáson mért eredmények alapján, 2026. 09. héten jelentős volt a pollenterhelés. </w:t>
      </w:r>
    </w:p>
    <w:p>
      <w:pPr>
        <w:pStyle w:val="Normal"/>
        <w:jc w:val="both"/>
        <w:rPr>
          <w:sz w:val="20"/>
        </w:rPr>
      </w:pPr>
      <w:r>
        <w:rPr>
          <w:sz w:val="2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Az </w:t>
      </w:r>
      <w:r>
        <w:rPr>
          <w:i/>
          <w:iCs/>
          <w:color w:val="000000"/>
        </w:rPr>
        <w:t>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mogyoró</w:t>
      </w:r>
      <w:r>
        <w:rPr>
          <w:color w:val="000000"/>
        </w:rPr>
        <w:t xml:space="preserve"> pollenjeit </w:t>
      </w:r>
      <w:r>
        <w:rPr>
          <w:b/>
          <w:bCs/>
          <w:color w:val="000000"/>
        </w:rPr>
        <w:t>alacsony-közepes</w:t>
      </w:r>
      <w:r>
        <w:rPr>
          <w:color w:val="000000"/>
        </w:rPr>
        <w:t xml:space="preserve"> tartományban monitoroztuk, a </w:t>
      </w:r>
      <w:r>
        <w:rPr>
          <w:b/>
          <w:bCs/>
          <w:color w:val="000000"/>
        </w:rPr>
        <w:t xml:space="preserve">kőris szintén alacsony-közepes </w:t>
      </w:r>
      <w:r>
        <w:rPr>
          <w:b w:val="false"/>
          <w:bCs w:val="false"/>
          <w:color w:val="000000"/>
        </w:rPr>
        <w:t xml:space="preserve">értéket mutatott. A </w:t>
      </w:r>
      <w:r>
        <w:rPr>
          <w:b/>
          <w:bCs/>
          <w:color w:val="000000"/>
        </w:rPr>
        <w:t>mogyoró</w:t>
      </w:r>
      <w:r>
        <w:rPr>
          <w:b w:val="false"/>
          <w:bCs w:val="false"/>
          <w:color w:val="000000"/>
        </w:rPr>
        <w:t xml:space="preserve"> pollenszórása alacsony, a kőris fajok viszont még csak most kezdenek pollent szórni, a pollenszámuk bizonyosan nőni fog. Az </w:t>
      </w:r>
      <w:r>
        <w:rPr>
          <w:b/>
          <w:bCs/>
          <w:color w:val="000000"/>
        </w:rPr>
        <w:t>éger</w:t>
      </w:r>
      <w:r>
        <w:rPr>
          <w:b w:val="false"/>
          <w:bCs w:val="false"/>
          <w:color w:val="000000"/>
        </w:rPr>
        <w:t xml:space="preserve"> a hét második felében magas, vagy a magashoz közel álló számú pollennel volt kimutatható, ez várhatóan az elkövetkező napokban sem fog jelentősen csökkenni.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közepesen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 xml:space="preserve">ciprus- és tiszafafélék </w:t>
      </w:r>
      <w:r>
        <w:rPr>
          <w:b w:val="false"/>
          <w:bCs w:val="false"/>
          <w:color w:val="000000"/>
        </w:rPr>
        <w:t>pollenje</w:t>
      </w:r>
      <w:r>
        <w:rPr>
          <w:b/>
          <w:bCs/>
          <w:color w:val="000000"/>
        </w:rPr>
        <w:t xml:space="preserve"> jelentős, olykor magas számban</w:t>
      </w:r>
      <w:r>
        <w:rPr>
          <w:b w:val="false"/>
          <w:bCs w:val="false"/>
          <w:color w:val="000000"/>
        </w:rPr>
        <w:t xml:space="preserve"> volt kimutatható, a napi teljes pollenmennyiség legalább fele származik a tiszafától. A </w:t>
      </w:r>
      <w:r>
        <w:rPr>
          <w:b/>
          <w:bCs/>
          <w:color w:val="000000"/>
        </w:rPr>
        <w:t>nyár</w:t>
      </w:r>
      <w:r>
        <w:rPr>
          <w:b w:val="false"/>
          <w:bCs w:val="false"/>
          <w:color w:val="000000"/>
        </w:rPr>
        <w:t xml:space="preserve"> fajok virágpor szórása a hét második felére </w:t>
      </w:r>
      <w:r>
        <w:rPr>
          <w:b/>
          <w:bCs/>
          <w:color w:val="000000"/>
        </w:rPr>
        <w:t xml:space="preserve">közepes </w:t>
      </w:r>
      <w:r>
        <w:rPr>
          <w:b w:val="false"/>
          <w:bCs w:val="false"/>
          <w:color w:val="000000"/>
        </w:rPr>
        <w:t>értéket ért el. Ezek a fajok még virágzásuk elején tartanak, a pollenszámuk várhatóan emelkedni fog.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gyengén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szil</w:t>
      </w:r>
      <w:r>
        <w:rPr>
          <w:color w:val="000000"/>
        </w:rPr>
        <w:t xml:space="preserve"> a pollenjét a hét második felében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tartományban szórta, mennyisége növekedést mutat.</w:t>
      </w:r>
    </w:p>
    <w:p>
      <w:pPr>
        <w:pStyle w:val="Normal"/>
        <w:jc w:val="both"/>
        <w:rPr>
          <w:color w:val="000000"/>
        </w:rPr>
      </w:pPr>
      <w:r>
        <w:rPr/>
      </w:r>
    </w:p>
    <w:p>
      <w:pPr>
        <w:pStyle w:val="Normal"/>
        <w:jc w:val="both"/>
        <w:rPr>
          <w:color w:val="000000"/>
        </w:rPr>
      </w:pPr>
      <w:r>
        <w:rPr/>
      </w:r>
    </w:p>
    <w:p>
      <w:pPr>
        <w:pStyle w:val="Normal"/>
        <w:jc w:val="both"/>
        <w:rPr/>
      </w:pPr>
      <w:r>
        <w:rPr>
          <w:color w:val="000000"/>
        </w:rPr>
        <w:t xml:space="preserve">A napokban </w:t>
      </w:r>
      <w:r>
        <w:rPr>
          <w:b/>
          <w:bCs/>
          <w:color w:val="000000"/>
        </w:rPr>
        <w:t>fűz</w:t>
      </w:r>
      <w:r>
        <w:rPr>
          <w:color w:val="000000"/>
        </w:rPr>
        <w:t xml:space="preserve"> fajok pollenjének megjelenésére lehet számítani.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kültéri </w:t>
      </w:r>
      <w:r>
        <w:rPr>
          <w:b/>
          <w:bCs/>
          <w:color w:val="000000"/>
        </w:rPr>
        <w:t>allergén gombák</w:t>
      </w:r>
      <w:r>
        <w:rPr>
          <w:color w:val="000000"/>
        </w:rPr>
        <w:t xml:space="preserve"> spóraszáma továbbra is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volt.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rPr>
          <w:color w:val="000000"/>
        </w:rPr>
      </w:pPr>
      <w:r>
        <w:rPr>
          <w:color w:val="000000"/>
        </w:rPr>
      </w:r>
    </w:p>
    <w:p>
      <w:pPr>
        <w:pStyle w:val="Normal"/>
        <w:rPr/>
      </w:pPr>
      <w:r>
        <w:rPr/>
        <w:t>A pollenszám a 2026. 02. 23. – 2026. 03. 01. közötti időszakban a következőképpen alakult:</w:t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Mogyoró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306"/>
        <w:gridCol w:w="1247"/>
        <w:gridCol w:w="1405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/>
            </w:pPr>
            <w:r>
              <w:rPr/>
              <w:t>13 db/m</w:t>
            </w:r>
            <w:r>
              <w:rPr>
                <w:vertAlign w:val="superscript"/>
              </w:rPr>
              <w:t>3</w:t>
            </w:r>
            <w:r>
              <w:rPr/>
              <w:t xml:space="preserve"> (közepes)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/>
            </w:pPr>
            <w:r>
              <w:rPr/>
              <w:t>9 db/m</w:t>
            </w:r>
            <w:r>
              <w:rPr>
                <w:vertAlign w:val="superscript"/>
              </w:rPr>
              <w:t>3</w:t>
            </w:r>
            <w:r>
              <w:rPr/>
              <w:t xml:space="preserve"> (alacsony)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/>
            </w:pPr>
            <w:r>
              <w:rPr/>
              <w:t>7 db/m</w:t>
            </w:r>
            <w:r>
              <w:rPr>
                <w:vertAlign w:val="superscript"/>
              </w:rPr>
              <w:t>3</w:t>
            </w:r>
            <w:r>
              <w:rPr/>
              <w:t xml:space="preserve"> (alacsony)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/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  <w:r>
              <w:rPr/>
              <w:t xml:space="preserve"> 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/>
            </w:pPr>
            <w:r>
              <w:rPr/>
              <w:t>5 db/m</w:t>
            </w:r>
            <w:r>
              <w:rPr>
                <w:vertAlign w:val="superscript"/>
              </w:rPr>
              <w:t>3</w:t>
            </w:r>
            <w:r>
              <w:rPr/>
              <w:t xml:space="preserve"> 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/>
            </w:pPr>
            <w:r>
              <w:rPr/>
              <w:t>4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(alacsony)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Default"/>
        <w:jc w:val="center"/>
        <w:rPr/>
      </w:pPr>
      <w:r>
        <w:rPr/>
        <w:drawing>
          <wp:inline distT="0" distB="0" distL="0" distR="0">
            <wp:extent cx="1048385" cy="1650365"/>
            <wp:effectExtent l="0" t="0" r="0" b="0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7528" t="90" r="17444" b="13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252220" cy="1670050"/>
            <wp:effectExtent l="0" t="0" r="0" b="0"/>
            <wp:docPr id="2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6" t="-35" r="-46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b/>
          <w:b/>
        </w:rPr>
      </w:pPr>
      <w:r>
        <w:rPr>
          <w:b/>
        </w:rPr>
        <w:t>Kőris (erősen allergén)</w:t>
      </w:r>
    </w:p>
    <w:p>
      <w:pPr>
        <w:pStyle w:val="Default"/>
        <w:rPr/>
      </w:pPr>
      <w:r>
        <w:rPr/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jc w:val="center"/>
        <w:rPr/>
      </w:pPr>
      <w:r>
        <w:rPr/>
        <w:drawing>
          <wp:inline distT="0" distB="0" distL="0" distR="0">
            <wp:extent cx="1920240" cy="1278255"/>
            <wp:effectExtent l="0" t="0" r="0" b="0"/>
            <wp:docPr id="3" name="virágos_kőris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rágos_kőris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4" t="-18" r="-24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242060" cy="1577340"/>
            <wp:effectExtent l="0" t="0" r="0" b="0"/>
            <wp:docPr id="4" name="korisfa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risfa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9" t="-15" r="-19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 xml:space="preserve">Éger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25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862455" cy="1289050"/>
            <wp:effectExtent l="0" t="0" r="0" b="0"/>
            <wp:docPr id="5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0" t="-44" r="-30" b="-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630680" cy="1223010"/>
            <wp:effectExtent l="0" t="0" r="0" b="0"/>
            <wp:docPr id="6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 xml:space="preserve">Ciprus- és tiszafafélék </w:t>
      </w:r>
      <w:r>
        <w:rPr>
          <w:bCs/>
        </w:rPr>
        <w:t>(közepesen allergén)</w:t>
      </w:r>
      <w:r>
        <w:rPr>
          <w:b/>
        </w:rPr>
        <w:t xml:space="preserve"> </w:t>
      </w:r>
    </w:p>
    <w:p>
      <w:pPr>
        <w:pStyle w:val="Normal"/>
        <w:rPr/>
      </w:pPr>
      <w:r>
        <w:rPr/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26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194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 magas)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345" w:leader="none"/>
              </w:tabs>
              <w:jc w:val="center"/>
              <w:rPr/>
            </w:pPr>
            <w:r>
              <w:rPr/>
              <w:t>78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35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88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394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 magas)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156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 magas)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57655" cy="1168400"/>
            <wp:effectExtent l="0" t="0" r="0" b="0"/>
            <wp:docPr id="7" name="kep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ep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25" t="-67" r="-25" b="-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774825" cy="1154430"/>
            <wp:effectExtent l="0" t="0" r="0" b="0"/>
            <wp:docPr id="8" name="tiszafa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szafa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30" t="-20" r="-30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>
          <w:b/>
        </w:rPr>
        <w:t xml:space="preserve">Nyárfa </w:t>
      </w:r>
      <w:r>
        <w:rPr>
          <w:bCs/>
        </w:rPr>
        <w:t>(közepesen allergén)</w:t>
      </w:r>
      <w:r>
        <w:rPr>
          <w:b/>
        </w:rPr>
        <w:t xml:space="preserve">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9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29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36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 közepes)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643380" cy="1226820"/>
            <wp:effectExtent l="0" t="0" r="0" b="0"/>
            <wp:docPr id="9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30" t="-39" r="-30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879600" cy="1402080"/>
            <wp:effectExtent l="0" t="0" r="0" b="0"/>
            <wp:docPr id="10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7" t="-9" r="-7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>Szilfa</w:t>
      </w:r>
      <w:r>
        <w:rPr/>
        <w:t xml:space="preserve"> (Gyengén allergén) </w:t>
      </w:r>
    </w:p>
    <w:p>
      <w:pPr>
        <w:pStyle w:val="Normal"/>
        <w:rPr/>
      </w:pPr>
      <w:r>
        <w:rPr/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8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jc w:val="center"/>
        <w:rPr/>
      </w:pPr>
      <w:r>
        <w:rPr/>
        <w:drawing>
          <wp:inline distT="0" distB="0" distL="0" distR="0">
            <wp:extent cx="1327150" cy="1327150"/>
            <wp:effectExtent l="0" t="0" r="0" b="0"/>
            <wp:docPr id="11" name="Kép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28" t="-28" r="-28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039495" cy="1387475"/>
            <wp:effectExtent l="0" t="0" r="0" b="0"/>
            <wp:docPr id="12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22" t="-16" r="-22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4"/>
        <w:gridCol w:w="1845"/>
      </w:tblGrid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Szeged, 2026. március 02.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Application>LibreOffice/7.1.4.2.n7$Windows_X86_64 LibreOffice_project/f0ca39448664a192cc3534ef817f27198f044ba9</Application>
  <AppVersion>15.0000</AppVersion>
  <Pages>4</Pages>
  <Words>426</Words>
  <Characters>2530</Characters>
  <CharactersWithSpaces>2849</CharactersWithSpaces>
  <Paragraphs>145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2023-03-20T13:14:00Z</dcterms:created>
  <dc:creator>Apatini Dóra</dc:creator>
  <dc:description/>
  <dc:language>hu-HU</dc:language>
  <cp:lastModifiedBy/>
  <dcterms:modified xsi:type="dcterms:W3CDTF">2026-03-03T09:31:51Z</dcterms:modified>
  <cp:revision>33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