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B48923" w14:textId="77777777" w:rsidR="00AE6EDA" w:rsidRPr="00AE6EDA" w:rsidRDefault="00AE6EDA" w:rsidP="000919F6">
      <w:pPr>
        <w:jc w:val="both"/>
        <w:rPr>
          <w:b/>
          <w:bCs/>
        </w:rPr>
      </w:pPr>
      <w:r w:rsidRPr="00AE6EDA">
        <w:rPr>
          <w:b/>
          <w:bCs/>
        </w:rPr>
        <w:t xml:space="preserve">Háttérterhelés meghatározása számítással </w:t>
      </w:r>
    </w:p>
    <w:p w14:paraId="4E577B6B" w14:textId="620E7BE9" w:rsidR="00D05E65" w:rsidRPr="005A0D7F" w:rsidRDefault="00D05E65" w:rsidP="000919F6">
      <w:pPr>
        <w:jc w:val="both"/>
      </w:pPr>
      <w:r w:rsidRPr="00D05E65">
        <w:t xml:space="preserve">A HB/17-IKV/01750-3/2025. számú </w:t>
      </w:r>
      <w:r>
        <w:t xml:space="preserve">hiánypótlási felhívásról kiadott </w:t>
      </w:r>
      <w:r w:rsidRPr="005A0D7F">
        <w:rPr>
          <w:u w:val="single"/>
        </w:rPr>
        <w:t xml:space="preserve">végzés </w:t>
      </w:r>
      <w:r w:rsidR="000919F6" w:rsidRPr="005A0D7F">
        <w:rPr>
          <w:u w:val="single"/>
        </w:rPr>
        <w:t>4.</w:t>
      </w:r>
      <w:r w:rsidRPr="005A0D7F">
        <w:rPr>
          <w:u w:val="single"/>
        </w:rPr>
        <w:t xml:space="preserve"> pontja</w:t>
      </w:r>
      <w:r w:rsidRPr="005A0D7F">
        <w:t xml:space="preserve"> a következő előírást tartalmazza:</w:t>
      </w:r>
    </w:p>
    <w:p w14:paraId="7118FE04" w14:textId="260AC572" w:rsidR="000919F6" w:rsidRPr="005A0D7F" w:rsidRDefault="00D05E65" w:rsidP="005A0D7F">
      <w:pPr>
        <w:ind w:left="426"/>
        <w:jc w:val="both"/>
        <w:rPr>
          <w:b/>
          <w:bCs/>
          <w:i/>
          <w:iCs/>
        </w:rPr>
      </w:pPr>
      <w:r w:rsidRPr="005A0D7F">
        <w:rPr>
          <w:b/>
          <w:bCs/>
          <w:i/>
          <w:iCs/>
        </w:rPr>
        <w:t xml:space="preserve">„4. </w:t>
      </w:r>
      <w:r w:rsidR="000919F6" w:rsidRPr="005A0D7F">
        <w:rPr>
          <w:b/>
          <w:bCs/>
          <w:i/>
          <w:iCs/>
        </w:rPr>
        <w:t>Adja meg a méréssel, számítással meghatározott háttérterhelés mértékét.</w:t>
      </w:r>
      <w:r w:rsidRPr="005A0D7F">
        <w:rPr>
          <w:b/>
          <w:bCs/>
          <w:i/>
          <w:iCs/>
        </w:rPr>
        <w:t>”</w:t>
      </w:r>
    </w:p>
    <w:p w14:paraId="573CEDB0" w14:textId="3A503DD3" w:rsidR="00D05E65" w:rsidRDefault="00D05E65" w:rsidP="00D05E65">
      <w:pPr>
        <w:jc w:val="both"/>
      </w:pPr>
      <w:r>
        <w:t xml:space="preserve">A HB/17-IKV/01750-3/2025. számú </w:t>
      </w:r>
      <w:r w:rsidRPr="005A0D7F">
        <w:rPr>
          <w:u w:val="single"/>
        </w:rPr>
        <w:t xml:space="preserve">végzés </w:t>
      </w:r>
      <w:r w:rsidR="00A019A6" w:rsidRPr="005A0D7F">
        <w:rPr>
          <w:u w:val="single"/>
        </w:rPr>
        <w:t xml:space="preserve">ide vonatkozó </w:t>
      </w:r>
      <w:r w:rsidRPr="005A0D7F">
        <w:rPr>
          <w:u w:val="single"/>
        </w:rPr>
        <w:t>indokolása</w:t>
      </w:r>
      <w:r>
        <w:t xml:space="preserve"> a</w:t>
      </w:r>
      <w:r w:rsidR="00A019A6">
        <w:t xml:space="preserve"> következő:</w:t>
      </w:r>
    </w:p>
    <w:p w14:paraId="3919D531" w14:textId="23FA5FE1" w:rsidR="000919F6" w:rsidRPr="000919F6" w:rsidRDefault="00D05E65" w:rsidP="005A0D7F">
      <w:pPr>
        <w:ind w:left="426"/>
        <w:jc w:val="both"/>
        <w:rPr>
          <w:i/>
          <w:iCs/>
        </w:rPr>
      </w:pPr>
      <w:r>
        <w:t xml:space="preserve"> </w:t>
      </w:r>
      <w:r w:rsidR="000458DD">
        <w:rPr>
          <w:i/>
          <w:iCs/>
        </w:rPr>
        <w:t>„</w:t>
      </w:r>
      <w:r w:rsidR="000919F6" w:rsidRPr="000919F6">
        <w:rPr>
          <w:i/>
          <w:iCs/>
        </w:rPr>
        <w:t xml:space="preserve">Indokolás a 4. ponthoz: A benyújtott környezeti hatástanulmány 229. oldalán leírtak alapján a háttérterhelést a zajterhelési határértékeknél 10 dB-el kevesebbnek tekintették a hatásterület lehatárolása során. A környezeti zaj és rezgés elleni védelem egyes szabályairól szóló 284/2007. (X. 29.) Korm. rendelet (a továbbiakban: ZajR.) 5. § (2) bekezdés b) pontja alapján környezeti hatásvizsgálati eljárásban a környezeti zajforrás hatásterületét a 6. § szerinti méréssel, számítással kell meghatározni. Mivel Khvr. 6. számú mellékletének 3. b) pontja és a ZajR. 5. § (2) bekezdés b) pontja szerint a létesítmény hatásterületét méréssel, számítással kell meghatározni, ezért a ZajR. 9. § (3) bekezdése alapján – a tervezés során – méréssel, számítással kell megállapítani a tervezett állapotot megelőző háttérterhelés mértékét, és e vizsgálat eredményét csatolni kell a létesítés iránti kérelemhez. A ZajR. 6. § (1) bekezdés a), b) és c) pontja alapján a hatásterület megállapítását a háttérterhelésre figyelemmel kell lehatárolni, ezért a környezetvédelmi hatóság indokoltnak tartja a háttérterhelés megállapítását. </w:t>
      </w:r>
    </w:p>
    <w:p w14:paraId="3E2BD2D2" w14:textId="104F74CF" w:rsidR="000919F6" w:rsidRDefault="000919F6" w:rsidP="00D05E65">
      <w:pPr>
        <w:ind w:left="426"/>
        <w:jc w:val="both"/>
        <w:rPr>
          <w:i/>
          <w:iCs/>
        </w:rPr>
      </w:pPr>
      <w:r w:rsidRPr="000919F6">
        <w:rPr>
          <w:i/>
          <w:iCs/>
        </w:rPr>
        <w:t>A környezetvédelmi hatóság felhívja a figyelmet, hogy az MSZ 18150-1:1998 szabvány 6.4 pont b) alpontja alapján, ha a 6.1. szakasz szerint kijelölt mérési pontokon más zajforrás hatása nem észlelhető, akkor a hátt</w:t>
      </w:r>
      <w:r>
        <w:rPr>
          <w:i/>
          <w:iCs/>
        </w:rPr>
        <w:t>ért</w:t>
      </w:r>
      <w:r w:rsidRPr="000919F6">
        <w:rPr>
          <w:i/>
          <w:iCs/>
        </w:rPr>
        <w:t>erhelést a 4.1.5. szakasz szerint mért LA95 95%-os A-hangnyomásszint</w:t>
      </w:r>
      <w:r>
        <w:rPr>
          <w:i/>
          <w:iCs/>
        </w:rPr>
        <w:t xml:space="preserve"> </w:t>
      </w:r>
      <w:r w:rsidRPr="000919F6">
        <w:rPr>
          <w:i/>
          <w:iCs/>
        </w:rPr>
        <w:t>szerint kell értékelni.</w:t>
      </w:r>
      <w:r w:rsidR="000458DD">
        <w:rPr>
          <w:i/>
          <w:iCs/>
        </w:rPr>
        <w:t>”</w:t>
      </w:r>
    </w:p>
    <w:p w14:paraId="1D4B4E82" w14:textId="08CA3335" w:rsidR="00A019A6" w:rsidRPr="005A0D7F" w:rsidRDefault="00A019A6" w:rsidP="00B57F77">
      <w:pPr>
        <w:jc w:val="both"/>
        <w:rPr>
          <w:b/>
          <w:bCs/>
          <w:u w:val="single"/>
        </w:rPr>
      </w:pPr>
      <w:r w:rsidRPr="005A0D7F">
        <w:rPr>
          <w:b/>
          <w:bCs/>
          <w:u w:val="single"/>
        </w:rPr>
        <w:t>A HB/17-IKV/01750-3/2025. számú végzés 4. pontját indokolással alátámasztva az alábbiak szerint teljesítjük.</w:t>
      </w:r>
    </w:p>
    <w:p w14:paraId="4C1494C6" w14:textId="3360A29E" w:rsidR="00B57F77" w:rsidRDefault="00B57F77" w:rsidP="00B57F77">
      <w:pPr>
        <w:jc w:val="both"/>
      </w:pPr>
      <w:r>
        <w:t xml:space="preserve">Ahogy az MSZ ISO </w:t>
      </w:r>
      <w:r w:rsidRPr="00B57F77">
        <w:t>1996-2</w:t>
      </w:r>
      <w:r>
        <w:t xml:space="preserve"> szabvány ismerteti, </w:t>
      </w:r>
      <w:r w:rsidRPr="005A0D7F">
        <w:rPr>
          <w:i/>
          <w:iCs/>
        </w:rPr>
        <w:t xml:space="preserve">„számos esetben </w:t>
      </w:r>
      <w:r w:rsidRPr="005A0D7F">
        <w:rPr>
          <w:i/>
          <w:iCs/>
          <w:u w:val="single"/>
        </w:rPr>
        <w:t>a mérések helyettesíthetők</w:t>
      </w:r>
      <w:r w:rsidRPr="005A0D7F">
        <w:rPr>
          <w:i/>
          <w:iCs/>
        </w:rPr>
        <w:t xml:space="preserve"> vagy kiegészíthetők </w:t>
      </w:r>
      <w:r w:rsidRPr="005A0D7F">
        <w:rPr>
          <w:i/>
          <w:iCs/>
          <w:u w:val="single"/>
        </w:rPr>
        <w:t>számításokkal</w:t>
      </w:r>
      <w:r w:rsidRPr="005A0D7F">
        <w:rPr>
          <w:i/>
          <w:iCs/>
        </w:rPr>
        <w:t>”</w:t>
      </w:r>
      <w:r>
        <w:t xml:space="preserve"> (mérés esetén pl. a közlekedési zajnak az ipari zajtól való elkülönítése a gyakorlatban gyakran nehezen megoldható, a kültéri mérések esetében a szél által keltett zaj – közvetlenül a mikrofonon és közvetetten a fákon, épületeken stb. – befolyásolhatja az eredményt). Ebben az esetben </w:t>
      </w:r>
      <w:r w:rsidRPr="000458DD">
        <w:rPr>
          <w:b/>
          <w:bCs/>
        </w:rPr>
        <w:t>számítási módszert alkalmazunk a háttérterhelés vonatkozásában</w:t>
      </w:r>
      <w:r>
        <w:t xml:space="preserve">. </w:t>
      </w:r>
    </w:p>
    <w:p w14:paraId="3B9D8B4C" w14:textId="77777777" w:rsidR="00A019A6" w:rsidRDefault="00273732" w:rsidP="000919F6">
      <w:pPr>
        <w:jc w:val="both"/>
      </w:pPr>
      <w:r>
        <w:t xml:space="preserve">Vizsgált létesítmény jellege: </w:t>
      </w:r>
      <w:r w:rsidR="006753F7">
        <w:t xml:space="preserve">vízpótlási útvonal, </w:t>
      </w:r>
      <w:r w:rsidR="00667412">
        <w:t>vonalas létesítmény pontszerű beavatkozásokkal</w:t>
      </w:r>
      <w:r w:rsidR="00436588">
        <w:t>.</w:t>
      </w:r>
      <w:r w:rsidR="00375FFA">
        <w:t xml:space="preserve"> </w:t>
      </w:r>
    </w:p>
    <w:p w14:paraId="4E10586B" w14:textId="501B1FBE" w:rsidR="00273732" w:rsidRDefault="00436588" w:rsidP="000919F6">
      <w:pPr>
        <w:jc w:val="both"/>
      </w:pPr>
      <w:r>
        <w:t xml:space="preserve">A </w:t>
      </w:r>
      <w:r w:rsidR="00375FFA">
        <w:t>korábbi gyakorlattól eltérő új üzemi zajforrás nem létesül</w:t>
      </w:r>
      <w:r>
        <w:t xml:space="preserve"> a tervezett fejlesztés</w:t>
      </w:r>
      <w:r w:rsidR="00890FB7">
        <w:t xml:space="preserve"> során</w:t>
      </w:r>
      <w:r w:rsidR="0074506F">
        <w:t>, a vizsgálat nem egy új</w:t>
      </w:r>
      <w:r w:rsidR="000A40AF">
        <w:t xml:space="preserve"> üzemi</w:t>
      </w:r>
      <w:r w:rsidR="0074506F">
        <w:t xml:space="preserve"> zajforrás létesítését előzi meg. A beavatkozások a területhasználatok módosulását nem vonják maguk után.</w:t>
      </w:r>
    </w:p>
    <w:p w14:paraId="01B41A8F" w14:textId="18A08D47" w:rsidR="0010643A" w:rsidRDefault="0010643A" w:rsidP="003034BD">
      <w:pPr>
        <w:spacing w:after="0"/>
        <w:jc w:val="both"/>
      </w:pPr>
      <w:r>
        <w:t>Vizsgált térség</w:t>
      </w:r>
      <w:r w:rsidR="00436588">
        <w:t>, azaz a beavatkozások környezetének</w:t>
      </w:r>
      <w:r>
        <w:t xml:space="preserve"> felszínborítottsága</w:t>
      </w:r>
      <w:r w:rsidR="00436588">
        <w:t xml:space="preserve"> az alábbiakban jellemezhető</w:t>
      </w:r>
      <w:r>
        <w:t xml:space="preserve">: </w:t>
      </w:r>
    </w:p>
    <w:p w14:paraId="001422D3" w14:textId="76292502" w:rsidR="003034BD" w:rsidRDefault="003034BD" w:rsidP="0010643A">
      <w:pPr>
        <w:pStyle w:val="Listaszerbekezds"/>
        <w:numPr>
          <w:ilvl w:val="0"/>
          <w:numId w:val="1"/>
        </w:numPr>
        <w:jc w:val="both"/>
      </w:pPr>
      <w:r>
        <w:t>mesterséges felületek (település, ipari terület, lerakók stb.): kb. 15%</w:t>
      </w:r>
      <w:r w:rsidR="00E252C6">
        <w:t>.</w:t>
      </w:r>
    </w:p>
    <w:p w14:paraId="7483D089" w14:textId="237DBF34" w:rsidR="0010643A" w:rsidRDefault="0010643A" w:rsidP="0010643A">
      <w:pPr>
        <w:pStyle w:val="Listaszerbekezds"/>
        <w:numPr>
          <w:ilvl w:val="0"/>
          <w:numId w:val="1"/>
        </w:numPr>
        <w:jc w:val="both"/>
      </w:pPr>
      <w:r>
        <w:t>nem öntözött szántóföld, gyümölcsös,</w:t>
      </w:r>
      <w:r w:rsidR="003034BD">
        <w:t xml:space="preserve"> legelő,</w:t>
      </w:r>
      <w:r>
        <w:t xml:space="preserve"> komplex művelés alá eső területek: kb. </w:t>
      </w:r>
      <w:r w:rsidR="003034BD">
        <w:t>50%</w:t>
      </w:r>
      <w:r w:rsidR="00E252C6">
        <w:t>.</w:t>
      </w:r>
    </w:p>
    <w:p w14:paraId="653A3CC9" w14:textId="36066AE2" w:rsidR="003034BD" w:rsidRDefault="003034BD" w:rsidP="0010643A">
      <w:pPr>
        <w:pStyle w:val="Listaszerbekezds"/>
        <w:numPr>
          <w:ilvl w:val="0"/>
          <w:numId w:val="1"/>
        </w:numPr>
        <w:jc w:val="both"/>
      </w:pPr>
      <w:r>
        <w:t>erdő, cserjés terület, gyep, mocsár, vízfelületek: kb. 35%</w:t>
      </w:r>
      <w:r w:rsidR="00E252C6">
        <w:t>.</w:t>
      </w:r>
    </w:p>
    <w:p w14:paraId="2572F727" w14:textId="2C30352D" w:rsidR="000919F6" w:rsidRDefault="00273732" w:rsidP="000919F6">
      <w:pPr>
        <w:jc w:val="both"/>
      </w:pPr>
      <w:r>
        <w:t xml:space="preserve">A háttérterhelés fogalmát </w:t>
      </w:r>
      <w:r w:rsidR="000458DD" w:rsidRPr="000458DD">
        <w:rPr>
          <w:i/>
          <w:iCs/>
        </w:rPr>
        <w:t>a</w:t>
      </w:r>
      <w:r w:rsidRPr="000458DD">
        <w:rPr>
          <w:i/>
          <w:iCs/>
        </w:rPr>
        <w:t xml:space="preserve"> környezeti zaj és rezgés elleni védelem egyes szabályairól</w:t>
      </w:r>
      <w:r w:rsidR="00436588" w:rsidRPr="000458DD">
        <w:rPr>
          <w:i/>
          <w:iCs/>
        </w:rPr>
        <w:t xml:space="preserve"> szóló</w:t>
      </w:r>
      <w:r>
        <w:t xml:space="preserve"> </w:t>
      </w:r>
      <w:r w:rsidR="00436588">
        <w:t xml:space="preserve">284/2007. (X. 29.) Korm. rendelet </w:t>
      </w:r>
      <w:r>
        <w:t>2. § l) pontja szabályozza</w:t>
      </w:r>
      <w:r w:rsidR="00436588">
        <w:t>, mely szerint a</w:t>
      </w:r>
      <w:r>
        <w:t xml:space="preserve"> háttérterhelés: a környezeti zajforrás hatásterületén a vizsgált forrás működése nélkül, de a </w:t>
      </w:r>
      <w:r w:rsidRPr="00890FB7">
        <w:t>forrás típusának megfelelő zajterhelés</w:t>
      </w:r>
      <w:r>
        <w:t xml:space="preserve">. </w:t>
      </w:r>
    </w:p>
    <w:p w14:paraId="3E9D514F" w14:textId="14D4E480" w:rsidR="00E75048" w:rsidRDefault="00E75048" w:rsidP="000919F6">
      <w:pPr>
        <w:jc w:val="both"/>
      </w:pPr>
      <w:r>
        <w:t xml:space="preserve">Ennek alapján </w:t>
      </w:r>
      <w:r w:rsidR="00392962">
        <w:t xml:space="preserve">ebben az egyedi esetben </w:t>
      </w:r>
      <w:r w:rsidRPr="005A0D7F">
        <w:rPr>
          <w:b/>
          <w:bCs/>
        </w:rPr>
        <w:t xml:space="preserve">a vizsgálandó építési tevékenység munkagépei által kibocsátott zajterhelés háttérterhelését mezőgazdasági, erdészeti tevékenységhez kapcsolódó </w:t>
      </w:r>
      <w:r w:rsidRPr="005A0D7F">
        <w:rPr>
          <w:b/>
          <w:bCs/>
        </w:rPr>
        <w:lastRenderedPageBreak/>
        <w:t>munkagépek zajterhelése adja a befogadó térség mintegy 85%-án</w:t>
      </w:r>
      <w:r w:rsidR="00436588">
        <w:t>.</w:t>
      </w:r>
      <w:r w:rsidR="00BA2FAF">
        <w:t xml:space="preserve"> </w:t>
      </w:r>
      <w:r w:rsidR="000458DD">
        <w:rPr>
          <w:rFonts w:cstheme="minorHAnsi"/>
        </w:rPr>
        <w:t>[</w:t>
      </w:r>
      <w:r w:rsidR="00436588">
        <w:t xml:space="preserve">A </w:t>
      </w:r>
      <w:r w:rsidR="00BA2FAF">
        <w:t xml:space="preserve">beavatkozások által megközelített lakóterületek </w:t>
      </w:r>
      <w:r w:rsidR="00436588">
        <w:t xml:space="preserve">(a tervezett beavatkozás szempontjából egy viszonylag rövid szakaszra vonatkozik) </w:t>
      </w:r>
      <w:r w:rsidR="00BA2FAF">
        <w:t>egyik oldalán</w:t>
      </w:r>
      <w:r w:rsidR="00436588">
        <w:t xml:space="preserve"> </w:t>
      </w:r>
      <w:r w:rsidR="00BA2FAF">
        <w:t>is általában hasonló tevékenység zajlik</w:t>
      </w:r>
      <w:r w:rsidR="000458DD">
        <w:rPr>
          <w:rFonts w:cstheme="minorHAnsi"/>
        </w:rPr>
        <w:t>]</w:t>
      </w:r>
      <w:r w:rsidR="00BA2FAF">
        <w:t>.</w:t>
      </w:r>
    </w:p>
    <w:p w14:paraId="21B6C085" w14:textId="448A12C2" w:rsidR="007C1A92" w:rsidRDefault="00050FFB" w:rsidP="000919F6">
      <w:pPr>
        <w:jc w:val="both"/>
      </w:pPr>
      <w:r>
        <w:t xml:space="preserve">A viszonyítás alapjául szolgáló határértékek </w:t>
      </w:r>
      <w:r w:rsidR="009A7A0C" w:rsidRPr="009A7A0C">
        <w:rPr>
          <w:i/>
          <w:iCs/>
        </w:rPr>
        <w:t>a környezeti zaj- és rezgésterhelési határértékek megállapításáról</w:t>
      </w:r>
      <w:r w:rsidRPr="009A7A0C">
        <w:rPr>
          <w:i/>
          <w:iCs/>
        </w:rPr>
        <w:t xml:space="preserve"> </w:t>
      </w:r>
      <w:r w:rsidR="009A7A0C" w:rsidRPr="009A7A0C">
        <w:rPr>
          <w:i/>
          <w:iCs/>
        </w:rPr>
        <w:t>szóló</w:t>
      </w:r>
      <w:r w:rsidR="009A7A0C">
        <w:t xml:space="preserve"> </w:t>
      </w:r>
      <w:r w:rsidRPr="00050FFB">
        <w:t xml:space="preserve">27/2008. (XII. 3.) KvVM–EüM együttes </w:t>
      </w:r>
      <w:r>
        <w:t>rendelet alapján</w:t>
      </w:r>
      <w:r w:rsidR="00020721">
        <w:t xml:space="preserve"> nappali munkavégzés esetén</w:t>
      </w:r>
      <w:r>
        <w:t xml:space="preserve">: </w:t>
      </w:r>
    </w:p>
    <w:tbl>
      <w:tblPr>
        <w:tblW w:w="8789" w:type="dxa"/>
        <w:tblInd w:w="13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820"/>
        <w:gridCol w:w="3969"/>
      </w:tblGrid>
      <w:tr w:rsidR="007C1A92" w:rsidRPr="007675C4" w14:paraId="1803F8C9" w14:textId="77777777" w:rsidTr="007C1A92">
        <w:trPr>
          <w:tblHeader/>
        </w:trPr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14:paraId="059E0DDE" w14:textId="77777777" w:rsidR="007C1A92" w:rsidRPr="007675C4" w:rsidRDefault="007C1A92" w:rsidP="007C1A92">
            <w:pPr>
              <w:keepNext/>
              <w:spacing w:after="0"/>
              <w:ind w:left="45" w:right="45"/>
              <w:rPr>
                <w:rFonts w:eastAsia="Calibri" w:cs="Times New Roman"/>
                <w:b/>
                <w:sz w:val="20"/>
                <w:szCs w:val="20"/>
              </w:rPr>
            </w:pPr>
            <w:r w:rsidRPr="007675C4">
              <w:rPr>
                <w:rFonts w:eastAsia="Calibri" w:cs="Times New Roman"/>
                <w:b/>
                <w:sz w:val="20"/>
                <w:szCs w:val="20"/>
              </w:rPr>
              <w:t>Zajtól védendő terület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14:paraId="0BFADAC3" w14:textId="6DC51FB7" w:rsidR="007C1A92" w:rsidRPr="007675C4" w:rsidRDefault="007C1A92" w:rsidP="007C1A92">
            <w:pPr>
              <w:keepNext/>
              <w:spacing w:after="0"/>
              <w:ind w:left="45" w:right="45"/>
              <w:jc w:val="center"/>
              <w:rPr>
                <w:rFonts w:eastAsia="Calibri" w:cs="Times New Roman"/>
                <w:b/>
                <w:sz w:val="20"/>
                <w:szCs w:val="20"/>
              </w:rPr>
            </w:pPr>
            <w:r w:rsidRPr="007675C4">
              <w:rPr>
                <w:rFonts w:eastAsia="Calibri" w:cs="Times New Roman"/>
                <w:b/>
                <w:sz w:val="20"/>
                <w:szCs w:val="20"/>
              </w:rPr>
              <w:t>Határérték (L</w:t>
            </w:r>
            <w:r w:rsidRPr="007675C4">
              <w:rPr>
                <w:rFonts w:eastAsia="Calibri" w:cs="Times New Roman"/>
                <w:b/>
                <w:sz w:val="20"/>
                <w:szCs w:val="20"/>
                <w:vertAlign w:val="subscript"/>
              </w:rPr>
              <w:t>TH</w:t>
            </w:r>
            <w:r w:rsidRPr="007675C4">
              <w:rPr>
                <w:rFonts w:eastAsia="Calibri" w:cs="Times New Roman"/>
                <w:b/>
                <w:sz w:val="20"/>
                <w:szCs w:val="20"/>
              </w:rPr>
              <w:t>) az L</w:t>
            </w:r>
            <w:r w:rsidRPr="007675C4">
              <w:rPr>
                <w:rFonts w:eastAsia="Calibri" w:cs="Times New Roman"/>
                <w:b/>
                <w:sz w:val="20"/>
                <w:szCs w:val="20"/>
                <w:vertAlign w:val="subscript"/>
              </w:rPr>
              <w:t>AM</w:t>
            </w:r>
            <w:r w:rsidRPr="007675C4">
              <w:rPr>
                <w:rFonts w:eastAsia="Calibri" w:cs="Times New Roman"/>
                <w:b/>
                <w:sz w:val="20"/>
                <w:szCs w:val="20"/>
              </w:rPr>
              <w:t xml:space="preserve"> megítélési szintre (dB)</w:t>
            </w:r>
          </w:p>
        </w:tc>
      </w:tr>
      <w:tr w:rsidR="007C1A92" w:rsidRPr="007675C4" w14:paraId="18309080" w14:textId="77777777" w:rsidTr="007C1A92">
        <w:trPr>
          <w:tblHeader/>
        </w:trPr>
        <w:tc>
          <w:tcPr>
            <w:tcW w:w="48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14:paraId="6B6BEB3E" w14:textId="77777777" w:rsidR="007C1A92" w:rsidRPr="007675C4" w:rsidRDefault="007C1A92" w:rsidP="007C1A92">
            <w:pPr>
              <w:keepNext/>
              <w:spacing w:after="0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14:paraId="573AB7BB" w14:textId="3E5E9515" w:rsidR="007C1A92" w:rsidRPr="007675C4" w:rsidRDefault="007C1A92" w:rsidP="007C1A92">
            <w:pPr>
              <w:keepNext/>
              <w:spacing w:after="0"/>
              <w:ind w:left="45" w:right="45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7675C4">
              <w:rPr>
                <w:rFonts w:eastAsia="Calibri" w:cs="Times New Roman"/>
                <w:sz w:val="20"/>
                <w:szCs w:val="20"/>
              </w:rPr>
              <w:t>ha az építési munka időtartama</w:t>
            </w:r>
          </w:p>
        </w:tc>
      </w:tr>
      <w:tr w:rsidR="007C1A92" w:rsidRPr="007675C4" w14:paraId="7C445C0D" w14:textId="77777777" w:rsidTr="007C1A92">
        <w:trPr>
          <w:tblHeader/>
        </w:trPr>
        <w:tc>
          <w:tcPr>
            <w:tcW w:w="48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14:paraId="1A242A1C" w14:textId="77777777" w:rsidR="007C1A92" w:rsidRPr="007675C4" w:rsidRDefault="007C1A92" w:rsidP="0014379C">
            <w:pPr>
              <w:keepNext/>
              <w:spacing w:after="0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14:paraId="05C9EDA6" w14:textId="77777777" w:rsidR="007C1A92" w:rsidRPr="007675C4" w:rsidRDefault="007C1A92" w:rsidP="0014379C">
            <w:pPr>
              <w:keepNext/>
              <w:spacing w:after="0"/>
              <w:ind w:left="45" w:right="45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7675C4">
              <w:rPr>
                <w:rFonts w:eastAsia="Calibri" w:cs="Times New Roman"/>
                <w:sz w:val="20"/>
                <w:szCs w:val="20"/>
              </w:rPr>
              <w:t>1 hónap felett 1 évig</w:t>
            </w:r>
          </w:p>
        </w:tc>
      </w:tr>
      <w:tr w:rsidR="007C1A92" w:rsidRPr="000B2819" w14:paraId="08DA9E09" w14:textId="77777777" w:rsidTr="007C1A92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8C6046" w14:textId="77777777" w:rsidR="007C1A92" w:rsidRPr="000B2819" w:rsidRDefault="007C1A92" w:rsidP="0014379C">
            <w:pPr>
              <w:keepNext/>
              <w:spacing w:after="0"/>
              <w:ind w:left="45" w:right="45"/>
              <w:rPr>
                <w:rFonts w:eastAsia="Calibri" w:cs="Times New Roman"/>
                <w:sz w:val="20"/>
                <w:szCs w:val="20"/>
              </w:rPr>
            </w:pPr>
            <w:r w:rsidRPr="000B2819">
              <w:rPr>
                <w:rFonts w:eastAsia="Calibri" w:cs="Times New Roman"/>
                <w:sz w:val="20"/>
                <w:szCs w:val="20"/>
              </w:rPr>
              <w:t>Üdülőterület, különleges területek közül az egészségügyi területek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E95FDB" w14:textId="77777777" w:rsidR="007C1A92" w:rsidRPr="000B2819" w:rsidRDefault="007C1A92" w:rsidP="0014379C">
            <w:pPr>
              <w:keepNext/>
              <w:spacing w:after="0"/>
              <w:ind w:left="45" w:right="45"/>
              <w:jc w:val="center"/>
              <w:rPr>
                <w:rFonts w:eastAsia="Calibri" w:cs="Times New Roman"/>
                <w:bCs/>
                <w:sz w:val="20"/>
                <w:szCs w:val="20"/>
              </w:rPr>
            </w:pPr>
            <w:r w:rsidRPr="000B2819">
              <w:rPr>
                <w:rFonts w:eastAsia="Calibri" w:cs="Times New Roman"/>
                <w:bCs/>
                <w:sz w:val="20"/>
                <w:szCs w:val="20"/>
              </w:rPr>
              <w:t>55</w:t>
            </w:r>
          </w:p>
        </w:tc>
      </w:tr>
      <w:tr w:rsidR="007C1A92" w:rsidRPr="000B2819" w14:paraId="4F4F8290" w14:textId="77777777" w:rsidTr="007C1A92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4DC584" w14:textId="77777777" w:rsidR="007C1A92" w:rsidRPr="000B2819" w:rsidRDefault="007C1A92" w:rsidP="0014379C">
            <w:pPr>
              <w:keepNext/>
              <w:spacing w:after="0"/>
              <w:ind w:left="45" w:right="45"/>
              <w:rPr>
                <w:rFonts w:eastAsia="Calibri" w:cs="Times New Roman"/>
                <w:sz w:val="20"/>
                <w:szCs w:val="20"/>
              </w:rPr>
            </w:pPr>
            <w:r w:rsidRPr="000B2819">
              <w:rPr>
                <w:rFonts w:eastAsia="Calibri" w:cs="Times New Roman"/>
                <w:sz w:val="20"/>
                <w:szCs w:val="20"/>
              </w:rPr>
              <w:t>Lakóterület (kisvárosias, kertvárosias, falusias, telepszerű beépítésű), különleges területek közül az oktatási létesítmények területei, a temetők, a zöldterület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ED6ABB" w14:textId="77777777" w:rsidR="007C1A92" w:rsidRPr="000B2819" w:rsidRDefault="007C1A92" w:rsidP="0014379C">
            <w:pPr>
              <w:keepNext/>
              <w:spacing w:after="0"/>
              <w:ind w:left="45" w:right="45"/>
              <w:jc w:val="center"/>
              <w:rPr>
                <w:rFonts w:eastAsia="Calibri" w:cs="Times New Roman"/>
                <w:bCs/>
                <w:sz w:val="20"/>
                <w:szCs w:val="20"/>
              </w:rPr>
            </w:pPr>
            <w:r w:rsidRPr="000B2819">
              <w:rPr>
                <w:rFonts w:eastAsia="Calibri" w:cs="Times New Roman"/>
                <w:bCs/>
                <w:sz w:val="20"/>
                <w:szCs w:val="20"/>
              </w:rPr>
              <w:t>60</w:t>
            </w:r>
          </w:p>
        </w:tc>
      </w:tr>
      <w:tr w:rsidR="007C1A92" w:rsidRPr="000B2819" w14:paraId="36A384DB" w14:textId="77777777" w:rsidTr="007C1A92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50AF1F" w14:textId="77777777" w:rsidR="007C1A92" w:rsidRPr="000B2819" w:rsidRDefault="007C1A92" w:rsidP="0014379C">
            <w:pPr>
              <w:keepNext/>
              <w:spacing w:after="0"/>
              <w:ind w:left="45" w:right="45"/>
              <w:rPr>
                <w:rFonts w:eastAsia="Calibri" w:cs="Times New Roman"/>
                <w:sz w:val="20"/>
                <w:szCs w:val="20"/>
              </w:rPr>
            </w:pPr>
            <w:r w:rsidRPr="000B2819">
              <w:rPr>
                <w:rFonts w:eastAsia="Calibri" w:cs="Times New Roman"/>
                <w:sz w:val="20"/>
                <w:szCs w:val="20"/>
              </w:rPr>
              <w:t>Gazdasági terület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FAD653" w14:textId="77777777" w:rsidR="007C1A92" w:rsidRPr="000B2819" w:rsidRDefault="007C1A92" w:rsidP="0014379C">
            <w:pPr>
              <w:keepNext/>
              <w:spacing w:after="0"/>
              <w:ind w:left="45" w:right="45"/>
              <w:jc w:val="center"/>
              <w:rPr>
                <w:rFonts w:eastAsia="Calibri" w:cs="Times New Roman"/>
                <w:bCs/>
                <w:sz w:val="20"/>
                <w:szCs w:val="20"/>
              </w:rPr>
            </w:pPr>
            <w:r w:rsidRPr="000B2819">
              <w:rPr>
                <w:rFonts w:eastAsia="Calibri" w:cs="Times New Roman"/>
                <w:bCs/>
                <w:sz w:val="20"/>
                <w:szCs w:val="20"/>
              </w:rPr>
              <w:t>70</w:t>
            </w:r>
          </w:p>
        </w:tc>
      </w:tr>
    </w:tbl>
    <w:p w14:paraId="757E3401" w14:textId="4FAD37FB" w:rsidR="007C1A92" w:rsidRDefault="007C1A92" w:rsidP="000919F6">
      <w:pPr>
        <w:jc w:val="both"/>
      </w:pPr>
    </w:p>
    <w:p w14:paraId="434982BB" w14:textId="295B1B34" w:rsidR="00E252C6" w:rsidRDefault="00E75048" w:rsidP="00E75048">
      <w:pPr>
        <w:jc w:val="both"/>
      </w:pPr>
      <w:r>
        <w:t xml:space="preserve">A szabadban lévő hangforrás által a hatókörében (környezetében) létrejövő hangnyomásszint függ a hangforrás tulajdonságaitól, továbbá a hangtér geometriájától a topográfia, a növényzet és a beépítettség által meghatározott, helyi terjedési feltételektől és az időjárástól. Az alkalmazott </w:t>
      </w:r>
      <w:r w:rsidRPr="005A0D7F">
        <w:rPr>
          <w:b/>
          <w:bCs/>
        </w:rPr>
        <w:t>számítási módszer olyan körülményeket feltételez, amelyek kedveznek a hang terjedésének, ezért ezzel a módszerrel számított hangnyomásszintek általában nagyobbak a hasonló helyzetben méréssel meghatározott szinteknél</w:t>
      </w:r>
      <w:r w:rsidRPr="00E75048">
        <w:t xml:space="preserve">. </w:t>
      </w:r>
      <w:r>
        <w:t xml:space="preserve">A levegő csillapításával (a hőmérséklettől és a relatív nedvességtartalomtól függően), a porózus talajból eredő többletcsillapítással, a növényzet többletcsillapításával, illetve meteorológiai hatásokkal (szél, hőmérséklet, csapadék stb.) csillapító tényezőivel nem csökkentjük a kiszámított értékeket. </w:t>
      </w:r>
    </w:p>
    <w:p w14:paraId="35DE26D4" w14:textId="37C2DB4D" w:rsidR="00A8686C" w:rsidRDefault="00436588" w:rsidP="000919F6">
      <w:pPr>
        <w:jc w:val="both"/>
      </w:pPr>
      <w:r>
        <w:t xml:space="preserve">A jelen esetben vizsgálandó, </w:t>
      </w:r>
      <w:r w:rsidRPr="00A05F61">
        <w:rPr>
          <w:u w:val="single"/>
        </w:rPr>
        <w:t>az építési tevékenységhez leginkább hasonló munkagép a m</w:t>
      </w:r>
      <w:r w:rsidR="00A8686C" w:rsidRPr="00A05F61">
        <w:rPr>
          <w:u w:val="single"/>
        </w:rPr>
        <w:t>ezőgazdasági tevékenységek</w:t>
      </w:r>
      <w:r w:rsidRPr="00A05F61">
        <w:rPr>
          <w:u w:val="single"/>
        </w:rPr>
        <w:t xml:space="preserve"> esetén</w:t>
      </w:r>
      <w:r w:rsidR="00A8686C" w:rsidRPr="00A05F61">
        <w:rPr>
          <w:u w:val="single"/>
        </w:rPr>
        <w:t xml:space="preserve"> a traktor</w:t>
      </w:r>
      <w:r w:rsidR="006359BF">
        <w:t>, így ezt fogjuk számításunkhoz példaként használni annak alátámasztására, hogy a vizsgált területen a háttérterhelést miért feltételezhetjük a határértéknél több, mint 10 dB-lel kisebbnek.</w:t>
      </w:r>
    </w:p>
    <w:p w14:paraId="7244111D" w14:textId="70CD532E" w:rsidR="007C1A92" w:rsidRDefault="009F210C" w:rsidP="000919F6">
      <w:pPr>
        <w:jc w:val="both"/>
      </w:pPr>
      <w:r>
        <w:t xml:space="preserve">1 nagy motorteljesítményű </w:t>
      </w:r>
      <w:r w:rsidR="00A8686C">
        <w:t xml:space="preserve">kerekes </w:t>
      </w:r>
      <w:r>
        <w:t xml:space="preserve">traktor </w:t>
      </w:r>
      <w:r w:rsidR="00BD32DB">
        <w:t>hangteljesítmény szintje</w:t>
      </w:r>
      <w:r>
        <w:t xml:space="preserve"> </w:t>
      </w:r>
      <w:r w:rsidR="00BD32DB">
        <w:t>(</w:t>
      </w:r>
      <w:r>
        <w:t>Lwa</w:t>
      </w:r>
      <w:r w:rsidR="00BD32DB">
        <w:t>)</w:t>
      </w:r>
      <w:r>
        <w:t xml:space="preserve"> 11</w:t>
      </w:r>
      <w:r w:rsidR="006F68CA">
        <w:t>0</w:t>
      </w:r>
      <w:r>
        <w:t>,</w:t>
      </w:r>
      <w:r w:rsidR="006F68CA">
        <w:t>7</w:t>
      </w:r>
      <w:r>
        <w:t>4</w:t>
      </w:r>
      <w:r w:rsidR="00BD32DB">
        <w:t xml:space="preserve"> dB</w:t>
      </w:r>
      <w:r w:rsidR="00A8686C">
        <w:t xml:space="preserve"> (számított érték, ennél </w:t>
      </w:r>
      <w:r w:rsidR="006F68CA">
        <w:t>a modern traktorok között „csendesebbek” is elérhetők, ~95-100 dB-es értékkel)</w:t>
      </w:r>
      <w:r w:rsidR="000A40AF">
        <w:t>.</w:t>
      </w:r>
    </w:p>
    <w:p w14:paraId="50C963C7" w14:textId="5D0E6B69" w:rsidR="00BD32DB" w:rsidRDefault="00BD32DB" w:rsidP="000919F6">
      <w:pPr>
        <w:jc w:val="both"/>
      </w:pPr>
      <w:r>
        <w:t>V</w:t>
      </w:r>
      <w:r w:rsidRPr="00BD32DB">
        <w:t>édendő (védett) környezet: védendő terület és védendő épület, helyiség, amely emberi tartózkodásra, tevékenység végzésére szolgál, és ahol az emberi tevékenység zavarásának megakadályozása vagy az emberi egészség védelme érdekében a környezeti zaj, rezgés mértékét korlátozni kell;</w:t>
      </w:r>
      <w:r>
        <w:t xml:space="preserve"> Gazdasági területen a </w:t>
      </w:r>
      <w:r w:rsidRPr="00BD32DB">
        <w:t>gazdasági területnek az a része, amelyen zajtól védendő épület helyezkedik el</w:t>
      </w:r>
      <w:r w:rsidR="00A8686C">
        <w:t>.</w:t>
      </w:r>
    </w:p>
    <w:p w14:paraId="0D3B82B3" w14:textId="5E174C0D" w:rsidR="00A8686C" w:rsidRDefault="006F68CA" w:rsidP="000919F6">
      <w:pPr>
        <w:jc w:val="both"/>
      </w:pPr>
      <w:r>
        <w:t>A mezőgazdasági munkagép működéséhez tartozó izobárok</w:t>
      </w:r>
      <w:r w:rsidR="00436588">
        <w:t xml:space="preserve"> (m)</w:t>
      </w:r>
      <w:r w:rsidR="00317B54">
        <w:t>:</w:t>
      </w:r>
    </w:p>
    <w:tbl>
      <w:tblPr>
        <w:tblW w:w="79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72"/>
        <w:gridCol w:w="992"/>
        <w:gridCol w:w="992"/>
        <w:gridCol w:w="993"/>
        <w:gridCol w:w="992"/>
        <w:gridCol w:w="991"/>
      </w:tblGrid>
      <w:tr w:rsidR="006F68CA" w:rsidRPr="00947815" w14:paraId="1AD21F2B" w14:textId="77777777" w:rsidTr="00890FB7">
        <w:trPr>
          <w:trHeight w:val="205"/>
          <w:jc w:val="center"/>
        </w:trPr>
        <w:tc>
          <w:tcPr>
            <w:tcW w:w="2972" w:type="dxa"/>
            <w:shd w:val="clear" w:color="auto" w:fill="BFBFBF"/>
          </w:tcPr>
          <w:p w14:paraId="1B21CA20" w14:textId="77777777" w:rsidR="006F68CA" w:rsidRPr="00947815" w:rsidRDefault="006F68CA" w:rsidP="0014379C">
            <w:pPr>
              <w:spacing w:after="0" w:line="240" w:lineRule="auto"/>
              <w:jc w:val="both"/>
              <w:rPr>
                <w:rFonts w:ascii="Sitka Display" w:eastAsia="Calibri" w:hAnsi="Sitka Display" w:cs="Times New Roman"/>
                <w:b/>
                <w:bCs/>
                <w:sz w:val="20"/>
                <w:szCs w:val="20"/>
              </w:rPr>
            </w:pPr>
            <w:r w:rsidRPr="00947815">
              <w:rPr>
                <w:rFonts w:ascii="Sitka Display" w:eastAsia="Calibri" w:hAnsi="Sitka Display" w:cs="Times New Roman"/>
                <w:b/>
                <w:bCs/>
                <w:sz w:val="20"/>
                <w:szCs w:val="20"/>
              </w:rPr>
              <w:t>Izobár</w:t>
            </w:r>
          </w:p>
        </w:tc>
        <w:tc>
          <w:tcPr>
            <w:tcW w:w="992" w:type="dxa"/>
            <w:shd w:val="clear" w:color="auto" w:fill="BFBFBF"/>
            <w:vAlign w:val="center"/>
          </w:tcPr>
          <w:p w14:paraId="7A53E90A" w14:textId="77777777" w:rsidR="006F68CA" w:rsidRPr="00947815" w:rsidRDefault="006F68CA" w:rsidP="00890FB7">
            <w:pPr>
              <w:spacing w:after="0" w:line="240" w:lineRule="auto"/>
              <w:jc w:val="center"/>
              <w:rPr>
                <w:rFonts w:ascii="Sitka Display" w:eastAsia="Calibri" w:hAnsi="Sitka Display" w:cs="Times New Roman"/>
                <w:b/>
                <w:sz w:val="20"/>
                <w:szCs w:val="20"/>
              </w:rPr>
            </w:pPr>
            <w:r w:rsidRPr="00947815">
              <w:rPr>
                <w:rFonts w:ascii="Sitka Display" w:eastAsia="Calibri" w:hAnsi="Sitka Display" w:cs="Times New Roman"/>
                <w:b/>
                <w:sz w:val="20"/>
                <w:szCs w:val="20"/>
              </w:rPr>
              <w:t>70 dB-es</w:t>
            </w:r>
          </w:p>
        </w:tc>
        <w:tc>
          <w:tcPr>
            <w:tcW w:w="992" w:type="dxa"/>
            <w:shd w:val="clear" w:color="auto" w:fill="BFBFBF"/>
            <w:vAlign w:val="center"/>
          </w:tcPr>
          <w:p w14:paraId="0020266A" w14:textId="77777777" w:rsidR="006F68CA" w:rsidRPr="00947815" w:rsidRDefault="006F68CA" w:rsidP="00890FB7">
            <w:pPr>
              <w:spacing w:after="0" w:line="240" w:lineRule="auto"/>
              <w:jc w:val="center"/>
              <w:rPr>
                <w:rFonts w:ascii="Sitka Display" w:eastAsia="Calibri" w:hAnsi="Sitka Display" w:cs="Times New Roman"/>
                <w:b/>
                <w:sz w:val="20"/>
                <w:szCs w:val="20"/>
              </w:rPr>
            </w:pPr>
            <w:r w:rsidRPr="00947815">
              <w:rPr>
                <w:rFonts w:ascii="Sitka Display" w:eastAsia="Calibri" w:hAnsi="Sitka Display" w:cs="Times New Roman"/>
                <w:b/>
                <w:sz w:val="20"/>
                <w:szCs w:val="20"/>
              </w:rPr>
              <w:t>65 dB-es</w:t>
            </w:r>
          </w:p>
        </w:tc>
        <w:tc>
          <w:tcPr>
            <w:tcW w:w="993" w:type="dxa"/>
            <w:shd w:val="clear" w:color="auto" w:fill="AEAAAA" w:themeFill="background2" w:themeFillShade="BF"/>
            <w:vAlign w:val="center"/>
          </w:tcPr>
          <w:p w14:paraId="6C6E54B2" w14:textId="77777777" w:rsidR="006F68CA" w:rsidRPr="00947815" w:rsidRDefault="006F68CA" w:rsidP="00890FB7">
            <w:pPr>
              <w:spacing w:after="0" w:line="240" w:lineRule="auto"/>
              <w:jc w:val="center"/>
              <w:rPr>
                <w:rFonts w:ascii="Sitka Display" w:eastAsia="Calibri" w:hAnsi="Sitka Display" w:cs="Times New Roman"/>
                <w:b/>
                <w:sz w:val="20"/>
                <w:szCs w:val="20"/>
              </w:rPr>
            </w:pPr>
            <w:r w:rsidRPr="00947815">
              <w:rPr>
                <w:rFonts w:ascii="Sitka Display" w:eastAsia="Calibri" w:hAnsi="Sitka Display" w:cs="Times New Roman"/>
                <w:b/>
                <w:sz w:val="20"/>
                <w:szCs w:val="20"/>
              </w:rPr>
              <w:t>60 dB-es</w:t>
            </w:r>
          </w:p>
        </w:tc>
        <w:tc>
          <w:tcPr>
            <w:tcW w:w="992" w:type="dxa"/>
            <w:shd w:val="clear" w:color="auto" w:fill="AEAAAA" w:themeFill="background2" w:themeFillShade="BF"/>
            <w:vAlign w:val="center"/>
          </w:tcPr>
          <w:p w14:paraId="5FB4269A" w14:textId="77777777" w:rsidR="006F68CA" w:rsidRPr="00947815" w:rsidRDefault="006F68CA" w:rsidP="00890FB7">
            <w:pPr>
              <w:spacing w:after="0" w:line="240" w:lineRule="auto"/>
              <w:jc w:val="center"/>
              <w:rPr>
                <w:rFonts w:ascii="Sitka Display" w:eastAsia="Calibri" w:hAnsi="Sitka Display" w:cs="Times New Roman"/>
                <w:b/>
                <w:sz w:val="20"/>
                <w:szCs w:val="20"/>
              </w:rPr>
            </w:pPr>
            <w:r w:rsidRPr="00947815">
              <w:rPr>
                <w:rFonts w:ascii="Sitka Display" w:eastAsia="Calibri" w:hAnsi="Sitka Display" w:cs="Times New Roman"/>
                <w:b/>
                <w:sz w:val="20"/>
                <w:szCs w:val="20"/>
              </w:rPr>
              <w:t>55 dB-es</w:t>
            </w:r>
          </w:p>
        </w:tc>
        <w:tc>
          <w:tcPr>
            <w:tcW w:w="991" w:type="dxa"/>
            <w:shd w:val="clear" w:color="auto" w:fill="AEAAAA" w:themeFill="background2" w:themeFillShade="BF"/>
            <w:vAlign w:val="center"/>
          </w:tcPr>
          <w:p w14:paraId="1D39C66D" w14:textId="77777777" w:rsidR="006F68CA" w:rsidRPr="00947815" w:rsidRDefault="006F68CA" w:rsidP="00890FB7">
            <w:pPr>
              <w:spacing w:after="0" w:line="240" w:lineRule="auto"/>
              <w:jc w:val="center"/>
              <w:rPr>
                <w:rFonts w:ascii="Sitka Display" w:eastAsia="Calibri" w:hAnsi="Sitka Display" w:cs="Times New Roman"/>
                <w:b/>
                <w:sz w:val="20"/>
                <w:szCs w:val="20"/>
              </w:rPr>
            </w:pPr>
            <w:r w:rsidRPr="00947815">
              <w:rPr>
                <w:rFonts w:ascii="Sitka Display" w:eastAsia="Calibri" w:hAnsi="Sitka Display" w:cs="Times New Roman"/>
                <w:b/>
                <w:sz w:val="20"/>
                <w:szCs w:val="20"/>
              </w:rPr>
              <w:t>50 dB-es</w:t>
            </w:r>
          </w:p>
        </w:tc>
      </w:tr>
      <w:tr w:rsidR="006F68CA" w:rsidRPr="00947815" w14:paraId="6FF14DEE" w14:textId="77777777" w:rsidTr="00890FB7">
        <w:trPr>
          <w:jc w:val="center"/>
        </w:trPr>
        <w:tc>
          <w:tcPr>
            <w:tcW w:w="2972" w:type="dxa"/>
          </w:tcPr>
          <w:p w14:paraId="0A026B53" w14:textId="6AE300B2" w:rsidR="006F68CA" w:rsidRPr="00947815" w:rsidRDefault="006F68CA" w:rsidP="0014379C">
            <w:pPr>
              <w:spacing w:after="0" w:line="240" w:lineRule="auto"/>
              <w:jc w:val="both"/>
              <w:rPr>
                <w:rFonts w:ascii="Sitka Display" w:eastAsia="Calibri" w:hAnsi="Sitka Display" w:cs="Times New Roman"/>
                <w:b/>
                <w:sz w:val="20"/>
                <w:szCs w:val="20"/>
              </w:rPr>
            </w:pPr>
            <w:r>
              <w:rPr>
                <w:rFonts w:ascii="Sitka Display" w:eastAsia="Calibri" w:hAnsi="Sitka Display" w:cs="Times New Roman"/>
                <w:b/>
                <w:sz w:val="20"/>
                <w:szCs w:val="20"/>
              </w:rPr>
              <w:t>Nagy teljesítményű traktor</w:t>
            </w:r>
          </w:p>
        </w:tc>
        <w:tc>
          <w:tcPr>
            <w:tcW w:w="992" w:type="dxa"/>
            <w:vAlign w:val="center"/>
          </w:tcPr>
          <w:p w14:paraId="19DBF332" w14:textId="75BB9271" w:rsidR="006F68CA" w:rsidRPr="00947815" w:rsidRDefault="006F68CA" w:rsidP="00890FB7">
            <w:pPr>
              <w:spacing w:after="0" w:line="240" w:lineRule="auto"/>
              <w:jc w:val="center"/>
              <w:rPr>
                <w:rFonts w:ascii="Sitka Display" w:eastAsia="Calibri" w:hAnsi="Sitka Display" w:cs="Times New Roman"/>
                <w:sz w:val="20"/>
                <w:szCs w:val="20"/>
              </w:rPr>
            </w:pPr>
            <w:r>
              <w:rPr>
                <w:rFonts w:ascii="Sitka Display" w:eastAsia="Calibri" w:hAnsi="Sitka Display" w:cs="Times New Roman"/>
                <w:sz w:val="20"/>
                <w:szCs w:val="20"/>
              </w:rPr>
              <w:t>43,40</w:t>
            </w:r>
          </w:p>
        </w:tc>
        <w:tc>
          <w:tcPr>
            <w:tcW w:w="992" w:type="dxa"/>
            <w:vAlign w:val="center"/>
          </w:tcPr>
          <w:p w14:paraId="260D86CE" w14:textId="796B3993" w:rsidR="006F68CA" w:rsidRPr="00947815" w:rsidRDefault="006F68CA" w:rsidP="00890FB7">
            <w:pPr>
              <w:spacing w:after="0" w:line="240" w:lineRule="auto"/>
              <w:jc w:val="center"/>
              <w:rPr>
                <w:rFonts w:ascii="Sitka Display" w:eastAsia="Calibri" w:hAnsi="Sitka Display" w:cs="Times New Roman"/>
                <w:sz w:val="20"/>
                <w:szCs w:val="20"/>
              </w:rPr>
            </w:pPr>
            <w:r>
              <w:rPr>
                <w:rFonts w:ascii="Sitka Display" w:eastAsia="Calibri" w:hAnsi="Sitka Display" w:cs="Times New Roman"/>
                <w:sz w:val="20"/>
                <w:szCs w:val="20"/>
              </w:rPr>
              <w:t>77,18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6FF944CE" w14:textId="6FCD6314" w:rsidR="006F68CA" w:rsidRPr="00947815" w:rsidRDefault="006F68CA" w:rsidP="00890FB7">
            <w:pPr>
              <w:spacing w:after="0" w:line="240" w:lineRule="auto"/>
              <w:jc w:val="center"/>
              <w:rPr>
                <w:rFonts w:ascii="Sitka Display" w:eastAsia="Calibri" w:hAnsi="Sitka Display" w:cs="Times New Roman"/>
                <w:bCs/>
                <w:sz w:val="20"/>
                <w:szCs w:val="20"/>
              </w:rPr>
            </w:pPr>
            <w:r>
              <w:rPr>
                <w:rFonts w:ascii="Sitka Display" w:eastAsia="Calibri" w:hAnsi="Sitka Display" w:cs="Times New Roman"/>
                <w:bCs/>
                <w:sz w:val="20"/>
                <w:szCs w:val="20"/>
              </w:rPr>
              <w:t>137,25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48D186F9" w14:textId="43EA233A" w:rsidR="006F68CA" w:rsidRPr="00947815" w:rsidRDefault="006F68CA" w:rsidP="00890FB7">
            <w:pPr>
              <w:spacing w:after="0" w:line="240" w:lineRule="auto"/>
              <w:jc w:val="center"/>
              <w:rPr>
                <w:rFonts w:ascii="Sitka Display" w:eastAsia="Calibri" w:hAnsi="Sitka Display" w:cs="Times New Roman"/>
                <w:sz w:val="20"/>
                <w:szCs w:val="20"/>
              </w:rPr>
            </w:pPr>
            <w:r>
              <w:rPr>
                <w:rFonts w:ascii="Sitka Display" w:eastAsia="Calibri" w:hAnsi="Sitka Display" w:cs="Times New Roman"/>
                <w:sz w:val="20"/>
                <w:szCs w:val="20"/>
              </w:rPr>
              <w:t>244,07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2933ED47" w14:textId="5799A78F" w:rsidR="006F68CA" w:rsidRPr="00947815" w:rsidRDefault="006F68CA" w:rsidP="00890FB7">
            <w:pPr>
              <w:spacing w:after="0" w:line="240" w:lineRule="auto"/>
              <w:jc w:val="center"/>
              <w:rPr>
                <w:rFonts w:ascii="Sitka Display" w:eastAsia="Calibri" w:hAnsi="Sitka Display" w:cs="Times New Roman"/>
                <w:sz w:val="20"/>
                <w:szCs w:val="20"/>
              </w:rPr>
            </w:pPr>
            <w:r>
              <w:rPr>
                <w:rFonts w:ascii="Sitka Display" w:eastAsia="Calibri" w:hAnsi="Sitka Display" w:cs="Times New Roman"/>
                <w:sz w:val="20"/>
                <w:szCs w:val="20"/>
              </w:rPr>
              <w:t>434,03</w:t>
            </w:r>
          </w:p>
        </w:tc>
      </w:tr>
    </w:tbl>
    <w:p w14:paraId="26B39DD7" w14:textId="77777777" w:rsidR="006F68CA" w:rsidRDefault="006F68CA" w:rsidP="000919F6">
      <w:pPr>
        <w:jc w:val="both"/>
      </w:pPr>
    </w:p>
    <w:p w14:paraId="54B7FBB6" w14:textId="5568610F" w:rsidR="00BD32DB" w:rsidRDefault="006F68CA" w:rsidP="000919F6">
      <w:pPr>
        <w:jc w:val="both"/>
      </w:pPr>
      <w:r>
        <w:t xml:space="preserve">A táblázat alapján tehát a traktor zaja 43,4 méter után süllyed a gazdasági területen található határérték alá, 137,25 métertől pedig annál 10 dB-lel alacsonyabb érték alá. </w:t>
      </w:r>
    </w:p>
    <w:p w14:paraId="20604E33" w14:textId="12A461CF" w:rsidR="00D23558" w:rsidRDefault="00D23558" w:rsidP="000919F6">
      <w:pPr>
        <w:jc w:val="both"/>
      </w:pPr>
      <w:r>
        <w:t xml:space="preserve">A hang terjedésének számítását első lépésben a következő képlet alapján </w:t>
      </w:r>
      <w:r w:rsidR="00A32AB6">
        <w:t>végeztük el</w:t>
      </w:r>
      <w:r>
        <w:t xml:space="preserve">: </w:t>
      </w:r>
    </w:p>
    <w:p w14:paraId="62A71CBC" w14:textId="4ABDE35E" w:rsidR="00D23558" w:rsidRDefault="00D23558" w:rsidP="00D23558">
      <w:pPr>
        <w:jc w:val="center"/>
      </w:pPr>
      <w:r w:rsidRPr="007675C4">
        <w:rPr>
          <w:rFonts w:ascii="Sitka Display" w:eastAsia="Calibri" w:hAnsi="Sitka Display" w:cs="Times New Roman"/>
          <w:position w:val="-30"/>
        </w:rPr>
        <w:object w:dxaOrig="3320" w:dyaOrig="680" w14:anchorId="40063F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2.4pt;height:36pt" o:ole="">
            <v:imagedata r:id="rId5" o:title=""/>
          </v:shape>
          <o:OLEObject Type="Embed" ProgID="Equation.3" ShapeID="_x0000_i1025" DrawAspect="Content" ObjectID="_1826099419" r:id="rId6"/>
        </w:object>
      </w:r>
    </w:p>
    <w:p w14:paraId="5E26730D" w14:textId="4939EACD" w:rsidR="006F68CA" w:rsidRDefault="00D23558" w:rsidP="000919F6">
      <w:pPr>
        <w:jc w:val="both"/>
      </w:pPr>
      <w:r>
        <w:t>Ebből a</w:t>
      </w:r>
      <w:r w:rsidR="00375FFA">
        <w:t xml:space="preserve"> munkagép</w:t>
      </w:r>
      <w:r w:rsidR="00317B54">
        <w:t xml:space="preserve"> </w:t>
      </w:r>
      <w:r w:rsidR="000A40AF">
        <w:t xml:space="preserve">védendő objektumtól mért </w:t>
      </w:r>
      <w:r w:rsidR="00317B54">
        <w:t xml:space="preserve">távolságánál tapasztalható </w:t>
      </w:r>
      <w:r w:rsidR="00317B54" w:rsidRPr="00317B54">
        <w:t>hangnyomásszint</w:t>
      </w:r>
      <w:r w:rsidR="000A40AF">
        <w:t>ek</w:t>
      </w:r>
      <w:r w:rsidR="00317B54">
        <w:t xml:space="preserve"> a következőképp alakul</w:t>
      </w:r>
      <w:r w:rsidR="000A40AF">
        <w:t>nak</w:t>
      </w:r>
      <w:r w:rsidR="00317B54">
        <w:t xml:space="preserve">: </w:t>
      </w:r>
    </w:p>
    <w:tbl>
      <w:tblPr>
        <w:tblStyle w:val="Rcsostblzat"/>
        <w:tblW w:w="3370" w:type="dxa"/>
        <w:jc w:val="center"/>
        <w:tblLook w:val="04A0" w:firstRow="1" w:lastRow="0" w:firstColumn="1" w:lastColumn="0" w:noHBand="0" w:noVBand="1"/>
      </w:tblPr>
      <w:tblGrid>
        <w:gridCol w:w="1555"/>
        <w:gridCol w:w="1815"/>
      </w:tblGrid>
      <w:tr w:rsidR="0074506F" w:rsidRPr="00BA0368" w14:paraId="1D5754B3" w14:textId="77777777" w:rsidTr="0074506F">
        <w:trPr>
          <w:tblHeader/>
          <w:jc w:val="center"/>
        </w:trPr>
        <w:tc>
          <w:tcPr>
            <w:tcW w:w="1555" w:type="dxa"/>
          </w:tcPr>
          <w:p w14:paraId="2F2AAD07" w14:textId="12537A85" w:rsidR="0074506F" w:rsidRPr="00BA0368" w:rsidRDefault="0074506F" w:rsidP="00890FB7">
            <w:pPr>
              <w:jc w:val="center"/>
              <w:rPr>
                <w:b/>
                <w:bCs/>
                <w:sz w:val="20"/>
                <w:szCs w:val="20"/>
              </w:rPr>
            </w:pPr>
            <w:r w:rsidRPr="00BA0368">
              <w:rPr>
                <w:b/>
                <w:bCs/>
                <w:sz w:val="20"/>
                <w:szCs w:val="20"/>
              </w:rPr>
              <w:t>Távolság</w:t>
            </w:r>
            <w:r>
              <w:rPr>
                <w:b/>
                <w:bCs/>
                <w:sz w:val="20"/>
                <w:szCs w:val="20"/>
              </w:rPr>
              <w:t xml:space="preserve"> m</w:t>
            </w:r>
          </w:p>
        </w:tc>
        <w:tc>
          <w:tcPr>
            <w:tcW w:w="1815" w:type="dxa"/>
          </w:tcPr>
          <w:p w14:paraId="1D27DD09" w14:textId="77777777" w:rsidR="0074506F" w:rsidRPr="00BA0368" w:rsidRDefault="0074506F" w:rsidP="00890FB7">
            <w:pPr>
              <w:jc w:val="center"/>
              <w:rPr>
                <w:b/>
                <w:bCs/>
                <w:sz w:val="20"/>
                <w:szCs w:val="20"/>
              </w:rPr>
            </w:pPr>
            <w:r w:rsidRPr="00BA0368">
              <w:rPr>
                <w:rFonts w:eastAsia="Times New Roman" w:cs="Calibri"/>
                <w:b/>
                <w:bCs/>
                <w:sz w:val="20"/>
                <w:szCs w:val="20"/>
                <w:lang w:eastAsia="hu-HU"/>
              </w:rPr>
              <w:t>L</w:t>
            </w:r>
            <w:r w:rsidRPr="00BA0368">
              <w:rPr>
                <w:rFonts w:eastAsia="Times New Roman" w:cs="Calibri"/>
                <w:b/>
                <w:bCs/>
                <w:sz w:val="20"/>
                <w:szCs w:val="20"/>
                <w:vertAlign w:val="subscript"/>
                <w:lang w:eastAsia="hu-HU"/>
              </w:rPr>
              <w:t>AM nappal (dB)</w:t>
            </w:r>
          </w:p>
        </w:tc>
      </w:tr>
      <w:tr w:rsidR="0074506F" w:rsidRPr="00BA0368" w14:paraId="1134B23A" w14:textId="77777777" w:rsidTr="0074506F">
        <w:trPr>
          <w:jc w:val="center"/>
        </w:trPr>
        <w:tc>
          <w:tcPr>
            <w:tcW w:w="1555" w:type="dxa"/>
          </w:tcPr>
          <w:p w14:paraId="161FBD7F" w14:textId="143CF7FD" w:rsidR="0074506F" w:rsidRPr="00BA0368" w:rsidRDefault="0074506F" w:rsidP="00890FB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1815" w:type="dxa"/>
          </w:tcPr>
          <w:p w14:paraId="041E15BD" w14:textId="78E4CB82" w:rsidR="0074506F" w:rsidRPr="00BA0368" w:rsidRDefault="00104E2B" w:rsidP="00890FB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79,23</w:t>
            </w:r>
          </w:p>
        </w:tc>
      </w:tr>
      <w:tr w:rsidR="0074506F" w:rsidRPr="00BA0368" w14:paraId="07ACDD47" w14:textId="77777777" w:rsidTr="0074506F">
        <w:trPr>
          <w:jc w:val="center"/>
        </w:trPr>
        <w:tc>
          <w:tcPr>
            <w:tcW w:w="1555" w:type="dxa"/>
          </w:tcPr>
          <w:p w14:paraId="5CCC3A39" w14:textId="738EFB07" w:rsidR="0074506F" w:rsidRDefault="0074506F" w:rsidP="00890FB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1815" w:type="dxa"/>
          </w:tcPr>
          <w:p w14:paraId="21E274F0" w14:textId="49FCE5AA" w:rsidR="0074506F" w:rsidRDefault="00104E2B" w:rsidP="00890FB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74,79</w:t>
            </w:r>
          </w:p>
        </w:tc>
      </w:tr>
      <w:tr w:rsidR="0074506F" w:rsidRPr="00BA0368" w14:paraId="3766C398" w14:textId="77777777" w:rsidTr="0074506F">
        <w:trPr>
          <w:jc w:val="center"/>
        </w:trPr>
        <w:tc>
          <w:tcPr>
            <w:tcW w:w="1555" w:type="dxa"/>
          </w:tcPr>
          <w:p w14:paraId="46BE1A5D" w14:textId="177C17F1" w:rsidR="0074506F" w:rsidRDefault="0074506F" w:rsidP="00890FB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</w:t>
            </w:r>
          </w:p>
        </w:tc>
        <w:tc>
          <w:tcPr>
            <w:tcW w:w="1815" w:type="dxa"/>
          </w:tcPr>
          <w:p w14:paraId="06063688" w14:textId="09D29183" w:rsidR="0074506F" w:rsidRDefault="00104E2B" w:rsidP="00890FB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68,77</w:t>
            </w:r>
          </w:p>
        </w:tc>
      </w:tr>
      <w:tr w:rsidR="0074506F" w:rsidRPr="00BA0368" w14:paraId="77994F26" w14:textId="77777777" w:rsidTr="0074506F">
        <w:trPr>
          <w:jc w:val="center"/>
        </w:trPr>
        <w:tc>
          <w:tcPr>
            <w:tcW w:w="1555" w:type="dxa"/>
          </w:tcPr>
          <w:p w14:paraId="58799DD3" w14:textId="030B0221" w:rsidR="0074506F" w:rsidRDefault="0074506F" w:rsidP="00890FB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</w:tc>
        <w:tc>
          <w:tcPr>
            <w:tcW w:w="1815" w:type="dxa"/>
          </w:tcPr>
          <w:p w14:paraId="4CA8823D" w14:textId="5E322BAB" w:rsidR="0074506F" w:rsidRDefault="00104E2B" w:rsidP="00890FB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62,75</w:t>
            </w:r>
          </w:p>
        </w:tc>
      </w:tr>
      <w:tr w:rsidR="0074506F" w:rsidRPr="00BA0368" w14:paraId="064E188C" w14:textId="77777777" w:rsidTr="0074506F">
        <w:trPr>
          <w:jc w:val="center"/>
        </w:trPr>
        <w:tc>
          <w:tcPr>
            <w:tcW w:w="1555" w:type="dxa"/>
          </w:tcPr>
          <w:p w14:paraId="05F65E59" w14:textId="12365B4B" w:rsidR="0074506F" w:rsidRDefault="0074506F" w:rsidP="00890FB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</w:t>
            </w:r>
          </w:p>
        </w:tc>
        <w:tc>
          <w:tcPr>
            <w:tcW w:w="1815" w:type="dxa"/>
          </w:tcPr>
          <w:p w14:paraId="578E39D9" w14:textId="39BA6AD9" w:rsidR="0074506F" w:rsidRDefault="00104E2B" w:rsidP="00890FB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59,23</w:t>
            </w:r>
          </w:p>
        </w:tc>
      </w:tr>
      <w:tr w:rsidR="0074506F" w:rsidRPr="00BA0368" w14:paraId="378DF9A3" w14:textId="77777777" w:rsidTr="0074506F">
        <w:trPr>
          <w:jc w:val="center"/>
        </w:trPr>
        <w:tc>
          <w:tcPr>
            <w:tcW w:w="1555" w:type="dxa"/>
          </w:tcPr>
          <w:p w14:paraId="36EE8861" w14:textId="06E8773F" w:rsidR="0074506F" w:rsidRDefault="0074506F" w:rsidP="00890FB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200</w:t>
            </w:r>
          </w:p>
        </w:tc>
        <w:tc>
          <w:tcPr>
            <w:tcW w:w="1815" w:type="dxa"/>
          </w:tcPr>
          <w:p w14:paraId="77F2C574" w14:textId="0C50C75E" w:rsidR="0074506F" w:rsidRDefault="00104E2B" w:rsidP="00890FB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56,73</w:t>
            </w:r>
          </w:p>
        </w:tc>
      </w:tr>
      <w:tr w:rsidR="0074506F" w:rsidRPr="00BA0368" w14:paraId="2EC622B6" w14:textId="77777777" w:rsidTr="0074506F">
        <w:trPr>
          <w:jc w:val="center"/>
        </w:trPr>
        <w:tc>
          <w:tcPr>
            <w:tcW w:w="1555" w:type="dxa"/>
          </w:tcPr>
          <w:p w14:paraId="26549BB9" w14:textId="13F00EBB" w:rsidR="0074506F" w:rsidRDefault="0074506F" w:rsidP="00890FB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250</w:t>
            </w:r>
          </w:p>
        </w:tc>
        <w:tc>
          <w:tcPr>
            <w:tcW w:w="1815" w:type="dxa"/>
          </w:tcPr>
          <w:p w14:paraId="16E6C953" w14:textId="56943A61" w:rsidR="0074506F" w:rsidRDefault="00104E2B" w:rsidP="00890FB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54,79</w:t>
            </w:r>
          </w:p>
        </w:tc>
      </w:tr>
    </w:tbl>
    <w:p w14:paraId="5C10FDB7" w14:textId="401F99BA" w:rsidR="00106517" w:rsidRDefault="00756E40" w:rsidP="00890FB7">
      <w:pPr>
        <w:spacing w:before="240"/>
        <w:jc w:val="both"/>
      </w:pPr>
      <w:r>
        <w:t>A traktor</w:t>
      </w:r>
      <w:r w:rsidR="00A32AB6">
        <w:t xml:space="preserve"> munka közben</w:t>
      </w:r>
      <w:r>
        <w:t xml:space="preserve"> mozgásban van a védendő objektumokhoz viszonyítva. </w:t>
      </w:r>
      <w:r w:rsidR="00106517">
        <w:t>A legközelebbi védendő objektumok esetében a traktor elhaladásának legközelebbi várható mértéke 15 m (lásd következő fotó egy, a területen, mezőgazdasági táblák között található objektumról</w:t>
      </w:r>
      <w:r w:rsidR="00A522F1">
        <w:t>, körülötte a 60 dB-</w:t>
      </w:r>
      <w:r w:rsidR="00525D14">
        <w:t>t elérő távolság</w:t>
      </w:r>
      <w:r w:rsidR="00106517">
        <w:t xml:space="preserve">). </w:t>
      </w:r>
    </w:p>
    <w:p w14:paraId="09C853C4" w14:textId="5783E4D8" w:rsidR="00106517" w:rsidRDefault="0035524D" w:rsidP="00106517">
      <w:pPr>
        <w:jc w:val="center"/>
      </w:pPr>
      <w:r w:rsidRPr="0035524D">
        <w:rPr>
          <w:noProof/>
        </w:rPr>
        <w:drawing>
          <wp:inline distT="0" distB="0" distL="0" distR="0" wp14:anchorId="79EF0FFA" wp14:editId="26E0C72B">
            <wp:extent cx="5760720" cy="2623820"/>
            <wp:effectExtent l="0" t="0" r="0" b="508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2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40BF2F" w14:textId="0DE3B095" w:rsidR="00DC1926" w:rsidRDefault="000A40AF" w:rsidP="00890FB7">
      <w:pPr>
        <w:spacing w:after="0"/>
        <w:jc w:val="both"/>
      </w:pPr>
      <w:r>
        <w:t>K</w:t>
      </w:r>
      <w:r w:rsidR="00525D14">
        <w:t>b. 20 km/h-s sebességet feltételezve a traktor áthaladási ideje az izobáron belül</w:t>
      </w:r>
      <w:r w:rsidR="008B1350">
        <w:t xml:space="preserve"> (az épülettől 15 méteres kezdőtávolságot feltételezve)</w:t>
      </w:r>
      <w:r w:rsidR="00525D14">
        <w:t xml:space="preserve"> 54,</w:t>
      </w:r>
      <w:r w:rsidR="008B1350">
        <w:t>6</w:t>
      </w:r>
      <w:r w:rsidR="0072032E">
        <w:t xml:space="preserve"> </w:t>
      </w:r>
      <w:r w:rsidR="00525D14">
        <w:t xml:space="preserve">s. </w:t>
      </w:r>
      <w:r w:rsidR="0072032E">
        <w:t>Az áthaladási idő alatti hangnyomásszint a következő képlet alapján körülbelül 67 dB.</w:t>
      </w:r>
    </w:p>
    <w:p w14:paraId="7B9185F7" w14:textId="03EBB2BD" w:rsidR="0072032E" w:rsidRDefault="0072032E" w:rsidP="0072032E">
      <w:pPr>
        <w:jc w:val="center"/>
      </w:pPr>
      <w:r w:rsidRPr="0072032E">
        <w:rPr>
          <w:noProof/>
        </w:rPr>
        <w:drawing>
          <wp:inline distT="0" distB="0" distL="0" distR="0" wp14:anchorId="3351242D" wp14:editId="16F4996C">
            <wp:extent cx="2597150" cy="664233"/>
            <wp:effectExtent l="0" t="0" r="0" b="254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08552" cy="667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1B4D4F" w14:textId="1D958BFD" w:rsidR="0072032E" w:rsidRDefault="001A31B2" w:rsidP="00890FB7">
      <w:pPr>
        <w:spacing w:after="0"/>
        <w:jc w:val="both"/>
      </w:pPr>
      <w:r>
        <w:t>E</w:t>
      </w:r>
      <w:r w:rsidR="0072032E">
        <w:t>zek</w:t>
      </w:r>
      <w:r>
        <w:t xml:space="preserve"> alapján</w:t>
      </w:r>
      <w:r w:rsidR="00DE206A">
        <w:t>,</w:t>
      </w:r>
      <w:r>
        <w:t xml:space="preserve"> </w:t>
      </w:r>
      <w:r w:rsidR="00644A94" w:rsidRPr="00A05F61">
        <w:rPr>
          <w:u w:val="single"/>
        </w:rPr>
        <w:t xml:space="preserve">ha </w:t>
      </w:r>
      <w:r w:rsidRPr="00A05F61">
        <w:rPr>
          <w:u w:val="single"/>
        </w:rPr>
        <w:t>egy</w:t>
      </w:r>
      <w:r w:rsidRPr="009A7A0C">
        <w:rPr>
          <w:u w:val="single"/>
        </w:rPr>
        <w:t xml:space="preserve"> traktor egy évben </w:t>
      </w:r>
      <w:r w:rsidR="00CE0B13" w:rsidRPr="009A7A0C">
        <w:rPr>
          <w:u w:val="single"/>
        </w:rPr>
        <w:t>10</w:t>
      </w:r>
      <w:r w:rsidRPr="009A7A0C">
        <w:rPr>
          <w:u w:val="single"/>
        </w:rPr>
        <w:t>0 napot</w:t>
      </w:r>
      <w:r w:rsidR="00644A94">
        <w:t xml:space="preserve"> (8 órás munkaidővel)</w:t>
      </w:r>
      <w:r>
        <w:t xml:space="preserve"> </w:t>
      </w:r>
      <w:r w:rsidRPr="00A05F61">
        <w:rPr>
          <w:u w:val="single"/>
        </w:rPr>
        <w:t>tölt</w:t>
      </w:r>
      <w:r>
        <w:t xml:space="preserve">ene el ezen </w:t>
      </w:r>
      <w:r w:rsidR="00A32AB6">
        <w:t>az izobáron</w:t>
      </w:r>
      <w:r>
        <w:t xml:space="preserve"> belül,</w:t>
      </w:r>
      <w:r w:rsidR="0072032E">
        <w:t xml:space="preserve"> a következő képlet használatával</w:t>
      </w:r>
    </w:p>
    <w:p w14:paraId="580955BF" w14:textId="40A41411" w:rsidR="0072032E" w:rsidRDefault="0072032E" w:rsidP="0072032E">
      <w:pPr>
        <w:jc w:val="center"/>
      </w:pPr>
      <w:r w:rsidRPr="0072032E">
        <w:rPr>
          <w:noProof/>
        </w:rPr>
        <w:drawing>
          <wp:inline distT="0" distB="0" distL="0" distR="0" wp14:anchorId="71A2ADAF" wp14:editId="074389A4">
            <wp:extent cx="2241550" cy="539935"/>
            <wp:effectExtent l="0" t="0" r="635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73075" cy="547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8B844" w14:textId="4963EC25" w:rsidR="001A31B2" w:rsidRPr="009A7A0C" w:rsidRDefault="001A31B2" w:rsidP="000919F6">
      <w:pPr>
        <w:jc w:val="both"/>
      </w:pPr>
      <w:r w:rsidRPr="009A7A0C">
        <w:t xml:space="preserve">az objektumnál </w:t>
      </w:r>
      <w:r w:rsidR="00644A94" w:rsidRPr="009A7A0C">
        <w:t>az éves átlagterhelés</w:t>
      </w:r>
      <w:r w:rsidRPr="009A7A0C">
        <w:t xml:space="preserve"> abban az esetben is </w:t>
      </w:r>
      <w:r w:rsidR="00CE0B13" w:rsidRPr="009A7A0C">
        <w:t xml:space="preserve">56,61 </w:t>
      </w:r>
      <w:r w:rsidRPr="009A7A0C">
        <w:t xml:space="preserve">dB-nek adódna, vagyis </w:t>
      </w:r>
      <w:r w:rsidRPr="009A7A0C">
        <w:rPr>
          <w:u w:val="single"/>
        </w:rPr>
        <w:t>több, mint 10 decibellel marad</w:t>
      </w:r>
      <w:r w:rsidRPr="009A7A0C">
        <w:t xml:space="preserve">na </w:t>
      </w:r>
      <w:r w:rsidRPr="009A7A0C">
        <w:rPr>
          <w:u w:val="single"/>
        </w:rPr>
        <w:t>alatta</w:t>
      </w:r>
      <w:r w:rsidRPr="009A7A0C">
        <w:t xml:space="preserve"> a határértéknek.  </w:t>
      </w:r>
    </w:p>
    <w:p w14:paraId="506BC13A" w14:textId="606B2588" w:rsidR="00351F8F" w:rsidRPr="00A05F61" w:rsidRDefault="00351F8F" w:rsidP="00351F8F">
      <w:pPr>
        <w:jc w:val="both"/>
        <w:rPr>
          <w:b/>
          <w:bCs/>
        </w:rPr>
      </w:pPr>
      <w:r>
        <w:lastRenderedPageBreak/>
        <w:t xml:space="preserve">Fenti </w:t>
      </w:r>
      <w:r w:rsidRPr="009A7A0C">
        <w:rPr>
          <w:b/>
          <w:bCs/>
        </w:rPr>
        <w:t xml:space="preserve">számítás </w:t>
      </w:r>
      <w:r w:rsidR="00890FB7" w:rsidRPr="009A7A0C">
        <w:rPr>
          <w:b/>
          <w:bCs/>
        </w:rPr>
        <w:t>alapján</w:t>
      </w:r>
      <w:r w:rsidRPr="009A7A0C">
        <w:rPr>
          <w:b/>
          <w:bCs/>
        </w:rPr>
        <w:t xml:space="preserve"> a </w:t>
      </w:r>
      <w:r w:rsidR="009A7A0C" w:rsidRPr="009A7A0C">
        <w:rPr>
          <w:b/>
          <w:bCs/>
        </w:rPr>
        <w:t>környezeti hatástanulmányban</w:t>
      </w:r>
      <w:r w:rsidRPr="009A7A0C">
        <w:rPr>
          <w:b/>
          <w:bCs/>
        </w:rPr>
        <w:t xml:space="preserve"> feltételezett számítási alap</w:t>
      </w:r>
      <w:r>
        <w:t xml:space="preserve">, azaz, hogy a határértéknél több, mint 10 dB-lel kisebbnek vettük a háttérterhelést </w:t>
      </w:r>
      <w:r w:rsidRPr="009A7A0C">
        <w:rPr>
          <w:b/>
          <w:bCs/>
        </w:rPr>
        <w:t>megfelelő</w:t>
      </w:r>
      <w:r w:rsidR="00A32AB6">
        <w:t xml:space="preserve">, hiszen egy </w:t>
      </w:r>
      <w:r w:rsidR="00A32AB6" w:rsidRPr="00A05F61">
        <w:rPr>
          <w:b/>
          <w:bCs/>
        </w:rPr>
        <w:t>ekkora területen nagy biztonsággal kijelenthető, hogy nem tartózkodnak ennyit olyan munkagépek, melyekkel az építési zaj háttérterhelése közelíthető</w:t>
      </w:r>
      <w:r w:rsidRPr="00A05F61">
        <w:rPr>
          <w:b/>
          <w:bCs/>
        </w:rPr>
        <w:t xml:space="preserve">. </w:t>
      </w:r>
    </w:p>
    <w:sectPr w:rsidR="00351F8F" w:rsidRPr="00A05F6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tka Display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390BCE"/>
    <w:multiLevelType w:val="hybridMultilevel"/>
    <w:tmpl w:val="2D405E5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19F6"/>
    <w:rsid w:val="00020721"/>
    <w:rsid w:val="000458DD"/>
    <w:rsid w:val="00050FFB"/>
    <w:rsid w:val="000919F6"/>
    <w:rsid w:val="000A40AF"/>
    <w:rsid w:val="00104E2B"/>
    <w:rsid w:val="0010643A"/>
    <w:rsid w:val="00106517"/>
    <w:rsid w:val="001A31B2"/>
    <w:rsid w:val="00273732"/>
    <w:rsid w:val="002B6B8B"/>
    <w:rsid w:val="003034BD"/>
    <w:rsid w:val="00317B54"/>
    <w:rsid w:val="00351F8F"/>
    <w:rsid w:val="0035524D"/>
    <w:rsid w:val="00375FFA"/>
    <w:rsid w:val="00392962"/>
    <w:rsid w:val="00436588"/>
    <w:rsid w:val="00525D14"/>
    <w:rsid w:val="005646EA"/>
    <w:rsid w:val="005A0D7F"/>
    <w:rsid w:val="006359BF"/>
    <w:rsid w:val="00640208"/>
    <w:rsid w:val="00641C67"/>
    <w:rsid w:val="00644A94"/>
    <w:rsid w:val="00667412"/>
    <w:rsid w:val="006753F7"/>
    <w:rsid w:val="0069357A"/>
    <w:rsid w:val="006F68CA"/>
    <w:rsid w:val="0072032E"/>
    <w:rsid w:val="0074506F"/>
    <w:rsid w:val="00746ED0"/>
    <w:rsid w:val="00756E40"/>
    <w:rsid w:val="007C1A92"/>
    <w:rsid w:val="00890FB7"/>
    <w:rsid w:val="008B1350"/>
    <w:rsid w:val="009A7A0C"/>
    <w:rsid w:val="009F210C"/>
    <w:rsid w:val="00A019A6"/>
    <w:rsid w:val="00A05F61"/>
    <w:rsid w:val="00A32AB6"/>
    <w:rsid w:val="00A522F1"/>
    <w:rsid w:val="00A8686C"/>
    <w:rsid w:val="00AE6EDA"/>
    <w:rsid w:val="00B44578"/>
    <w:rsid w:val="00B57F77"/>
    <w:rsid w:val="00BA2FAF"/>
    <w:rsid w:val="00BD32DB"/>
    <w:rsid w:val="00CE0B13"/>
    <w:rsid w:val="00D05E65"/>
    <w:rsid w:val="00D23558"/>
    <w:rsid w:val="00DC1926"/>
    <w:rsid w:val="00DE206A"/>
    <w:rsid w:val="00E006D3"/>
    <w:rsid w:val="00E21CE5"/>
    <w:rsid w:val="00E252C6"/>
    <w:rsid w:val="00E75048"/>
    <w:rsid w:val="00FE05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4:docId w14:val="334BA04D"/>
  <w15:chartTrackingRefBased/>
  <w15:docId w15:val="{413C5EF4-4C0A-4F71-AFBD-7DE01D4A2A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10643A"/>
    <w:pPr>
      <w:ind w:left="720"/>
      <w:contextualSpacing/>
    </w:pPr>
  </w:style>
  <w:style w:type="table" w:styleId="Rcsostblzat">
    <w:name w:val="Table Grid"/>
    <w:aliases w:val="táblázat2"/>
    <w:basedOn w:val="Normltblzat"/>
    <w:uiPriority w:val="39"/>
    <w:rsid w:val="007450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Vltozat">
    <w:name w:val="Revision"/>
    <w:hidden/>
    <w:uiPriority w:val="99"/>
    <w:semiHidden/>
    <w:rsid w:val="0043658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theme" Target="theme/theme1.xml"/><Relationship Id="rId5" Type="http://schemas.openxmlformats.org/officeDocument/2006/relationships/image" Target="media/image1.w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996</Words>
  <Characters>6838</Characters>
  <Application>Microsoft Office Word</Application>
  <DocSecurity>0</DocSecurity>
  <Lines>56</Lines>
  <Paragraphs>15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Fanni Tombácz</dc:creator>
  <cp:keywords/>
  <dc:description/>
  <cp:lastModifiedBy>Dr. Gulyás Anita</cp:lastModifiedBy>
  <cp:revision>3</cp:revision>
  <dcterms:created xsi:type="dcterms:W3CDTF">2025-11-10T10:31:00Z</dcterms:created>
  <dcterms:modified xsi:type="dcterms:W3CDTF">2025-12-01T12:04:00Z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d3e536ee-6de5-4de5-a703-337b9f91680c</vt:lpwstr>
  </property>
</Properties>
</file>