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AF" w:rsidRPr="00BF27AF" w:rsidRDefault="00B172AF" w:rsidP="0097184A">
      <w:pPr>
        <w:pStyle w:val="Listaszerbekezds"/>
        <w:pBdr>
          <w:top w:val="single" w:sz="4" w:space="1" w:color="auto"/>
          <w:left w:val="single" w:sz="4" w:space="4" w:color="auto"/>
          <w:bottom w:val="single" w:sz="4" w:space="1" w:color="auto"/>
          <w:right w:val="single" w:sz="4" w:space="4" w:color="auto"/>
        </w:pBdr>
        <w:tabs>
          <w:tab w:val="left" w:pos="142"/>
        </w:tabs>
        <w:spacing w:after="0" w:line="240" w:lineRule="auto"/>
        <w:ind w:left="142"/>
        <w:jc w:val="center"/>
        <w:rPr>
          <w:rFonts w:ascii="Times New Roman" w:eastAsia="Times New Roman" w:hAnsi="Times New Roman" w:cs="Times New Roman"/>
          <w:b/>
          <w:spacing w:val="40"/>
          <w:sz w:val="32"/>
          <w:szCs w:val="32"/>
          <w:lang w:eastAsia="hu-HU"/>
        </w:rPr>
      </w:pPr>
      <w:bookmarkStart w:id="0" w:name="_GoBack"/>
      <w:bookmarkEnd w:id="0"/>
      <w:r w:rsidRPr="00BF27AF">
        <w:rPr>
          <w:rFonts w:ascii="Times New Roman" w:eastAsia="Times New Roman" w:hAnsi="Times New Roman" w:cs="Times New Roman"/>
          <w:b/>
          <w:spacing w:val="40"/>
          <w:sz w:val="32"/>
          <w:szCs w:val="32"/>
          <w:lang w:eastAsia="hu-HU"/>
        </w:rPr>
        <w:t>ÖSSZEFOGLALÓ</w:t>
      </w:r>
    </w:p>
    <w:p w:rsidR="00BF27AF" w:rsidRPr="00F84C14" w:rsidRDefault="00B172AF" w:rsidP="00A918B9">
      <w:pPr>
        <w:pStyle w:val="Listaszerbekezds"/>
        <w:pBdr>
          <w:top w:val="single" w:sz="4" w:space="1" w:color="auto"/>
          <w:left w:val="single" w:sz="4" w:space="4" w:color="auto"/>
          <w:bottom w:val="single" w:sz="4" w:space="1" w:color="auto"/>
          <w:right w:val="single" w:sz="4" w:space="4" w:color="auto"/>
        </w:pBdr>
        <w:tabs>
          <w:tab w:val="left" w:pos="0"/>
        </w:tabs>
        <w:spacing w:after="0" w:line="240" w:lineRule="auto"/>
        <w:ind w:left="142"/>
        <w:jc w:val="center"/>
        <w:rPr>
          <w:rFonts w:ascii="Times New Roman" w:eastAsia="Times New Roman" w:hAnsi="Times New Roman" w:cs="Times New Roman"/>
          <w:b/>
          <w:sz w:val="28"/>
          <w:szCs w:val="28"/>
          <w:lang w:eastAsia="hu-HU"/>
        </w:rPr>
      </w:pPr>
      <w:r w:rsidRPr="00F84C14">
        <w:rPr>
          <w:rFonts w:ascii="Times New Roman" w:eastAsia="Times New Roman" w:hAnsi="Times New Roman" w:cs="Times New Roman"/>
          <w:b/>
          <w:sz w:val="28"/>
          <w:szCs w:val="28"/>
          <w:lang w:eastAsia="hu-HU"/>
        </w:rPr>
        <w:t xml:space="preserve">az Európai Parlament és a Tanács egyes műanyagtermékek környezetre gyakorolt hatásának csökkentéséről szóló 2019/904 irányelvének </w:t>
      </w:r>
    </w:p>
    <w:p w:rsidR="00BF27AF" w:rsidRPr="00F84C14" w:rsidRDefault="00B172AF" w:rsidP="00A918B9">
      <w:pPr>
        <w:pStyle w:val="Listaszerbekezds"/>
        <w:pBdr>
          <w:top w:val="single" w:sz="4" w:space="1" w:color="auto"/>
          <w:left w:val="single" w:sz="4" w:space="4" w:color="auto"/>
          <w:bottom w:val="single" w:sz="4" w:space="1" w:color="auto"/>
          <w:right w:val="single" w:sz="4" w:space="4" w:color="auto"/>
        </w:pBdr>
        <w:tabs>
          <w:tab w:val="left" w:pos="0"/>
        </w:tabs>
        <w:spacing w:after="0" w:line="240" w:lineRule="auto"/>
        <w:ind w:left="142"/>
        <w:jc w:val="center"/>
        <w:rPr>
          <w:rFonts w:ascii="Times New Roman" w:eastAsia="Times New Roman" w:hAnsi="Times New Roman" w:cs="Times New Roman"/>
          <w:b/>
          <w:sz w:val="28"/>
          <w:szCs w:val="28"/>
          <w:lang w:eastAsia="hu-HU"/>
        </w:rPr>
      </w:pPr>
      <w:r w:rsidRPr="00F84C14">
        <w:rPr>
          <w:rFonts w:ascii="Times New Roman" w:eastAsia="Times New Roman" w:hAnsi="Times New Roman" w:cs="Times New Roman"/>
          <w:b/>
          <w:sz w:val="28"/>
          <w:szCs w:val="28"/>
          <w:lang w:eastAsia="hu-HU"/>
        </w:rPr>
        <w:t xml:space="preserve">(SUP irányelv), és az annak átültetését megvalósító </w:t>
      </w:r>
    </w:p>
    <w:p w:rsidR="00B172AF" w:rsidRPr="00F84C14" w:rsidRDefault="00BF27AF" w:rsidP="00A918B9">
      <w:pPr>
        <w:pStyle w:val="Listaszerbekezds"/>
        <w:pBdr>
          <w:top w:val="single" w:sz="4" w:space="1" w:color="auto"/>
          <w:left w:val="single" w:sz="4" w:space="4" w:color="auto"/>
          <w:bottom w:val="single" w:sz="4" w:space="1" w:color="auto"/>
          <w:right w:val="single" w:sz="4" w:space="4" w:color="auto"/>
        </w:pBdr>
        <w:tabs>
          <w:tab w:val="left" w:pos="0"/>
        </w:tabs>
        <w:spacing w:after="0" w:line="240" w:lineRule="auto"/>
        <w:ind w:left="142"/>
        <w:jc w:val="center"/>
        <w:rPr>
          <w:rFonts w:ascii="Times New Roman" w:eastAsia="Times New Roman" w:hAnsi="Times New Roman" w:cs="Times New Roman"/>
          <w:b/>
          <w:sz w:val="28"/>
          <w:szCs w:val="28"/>
          <w:lang w:eastAsia="hu-HU"/>
        </w:rPr>
      </w:pPr>
      <w:r w:rsidRPr="00F84C14">
        <w:rPr>
          <w:rFonts w:ascii="Times New Roman" w:eastAsia="Times New Roman" w:hAnsi="Times New Roman" w:cs="Times New Roman"/>
          <w:b/>
          <w:sz w:val="28"/>
          <w:szCs w:val="28"/>
          <w:lang w:eastAsia="hu-HU"/>
        </w:rPr>
        <w:t xml:space="preserve">hazai </w:t>
      </w:r>
      <w:r w:rsidR="00B172AF" w:rsidRPr="00F84C14">
        <w:rPr>
          <w:rFonts w:ascii="Times New Roman" w:eastAsia="Times New Roman" w:hAnsi="Times New Roman" w:cs="Times New Roman"/>
          <w:b/>
          <w:sz w:val="28"/>
          <w:szCs w:val="28"/>
          <w:lang w:eastAsia="hu-HU"/>
        </w:rPr>
        <w:t>kormányrendeletek</w:t>
      </w:r>
      <w:r w:rsidRPr="00F84C14">
        <w:rPr>
          <w:rFonts w:ascii="Times New Roman" w:eastAsia="Times New Roman" w:hAnsi="Times New Roman" w:cs="Times New Roman"/>
          <w:b/>
          <w:sz w:val="28"/>
          <w:szCs w:val="28"/>
          <w:lang w:eastAsia="hu-HU"/>
        </w:rPr>
        <w:t xml:space="preserve"> </w:t>
      </w:r>
      <w:r w:rsidR="00B172AF" w:rsidRPr="00F84C14">
        <w:rPr>
          <w:rFonts w:ascii="Times New Roman" w:eastAsia="Times New Roman" w:hAnsi="Times New Roman" w:cs="Times New Roman"/>
          <w:b/>
          <w:sz w:val="28"/>
          <w:szCs w:val="28"/>
          <w:lang w:eastAsia="hu-HU"/>
        </w:rPr>
        <w:t>főbb rendelkezéseiről</w:t>
      </w:r>
    </w:p>
    <w:p w:rsidR="00CA3614" w:rsidRDefault="00CA3614" w:rsidP="00301310">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ED638E" w:rsidRPr="00ED638E" w:rsidRDefault="00ED638E" w:rsidP="00ED638E">
      <w:pPr>
        <w:spacing w:after="0" w:line="240" w:lineRule="auto"/>
        <w:rPr>
          <w:rFonts w:ascii="Times New Roman" w:eastAsia="Calibri" w:hAnsi="Times New Roman" w:cs="Times New Roman"/>
          <w:sz w:val="24"/>
          <w:szCs w:val="24"/>
        </w:rPr>
      </w:pP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r w:rsidRPr="00A918B9">
        <w:rPr>
          <w:rFonts w:ascii="Times New Roman" w:eastAsia="Calibri" w:hAnsi="Times New Roman" w:cs="Times New Roman"/>
          <w:sz w:val="24"/>
          <w:szCs w:val="24"/>
          <w:lang w:eastAsia="hu-HU"/>
        </w:rPr>
        <w:t xml:space="preserve">2019. július 5-én lépett hatályba </w:t>
      </w:r>
      <w:r w:rsidRPr="00BF27AF">
        <w:rPr>
          <w:rFonts w:ascii="Times New Roman" w:eastAsia="Calibri" w:hAnsi="Times New Roman" w:cs="Times New Roman"/>
          <w:i/>
          <w:sz w:val="24"/>
          <w:szCs w:val="24"/>
          <w:lang w:eastAsia="hu-HU"/>
        </w:rPr>
        <w:t>az egyes műanyagtermékek környezetre gyakorolt hatásának csökkentéséről szóló, 2019. június 5-i (EU) 2019/904 európai parlamenti és tanácsi irányelv</w:t>
      </w:r>
      <w:r w:rsidRPr="00A918B9">
        <w:rPr>
          <w:rFonts w:ascii="Times New Roman" w:eastAsia="Calibri" w:hAnsi="Times New Roman" w:cs="Times New Roman"/>
          <w:sz w:val="24"/>
          <w:szCs w:val="24"/>
          <w:lang w:eastAsia="hu-HU"/>
        </w:rPr>
        <w:t xml:space="preserve"> (SUP irányelv). </w:t>
      </w:r>
      <w:r w:rsidRPr="00BF27AF">
        <w:rPr>
          <w:rFonts w:ascii="Times New Roman" w:eastAsia="Calibri" w:hAnsi="Times New Roman" w:cs="Times New Roman"/>
          <w:b/>
          <w:sz w:val="24"/>
          <w:szCs w:val="24"/>
          <w:lang w:eastAsia="hu-HU"/>
        </w:rPr>
        <w:t>A SUP irányelv</w:t>
      </w:r>
      <w:r w:rsidRPr="00A918B9">
        <w:rPr>
          <w:rFonts w:ascii="Times New Roman" w:eastAsia="Calibri" w:hAnsi="Times New Roman" w:cs="Times New Roman"/>
          <w:sz w:val="24"/>
          <w:szCs w:val="24"/>
          <w:lang w:eastAsia="hu-HU"/>
        </w:rPr>
        <w:t xml:space="preserve"> </w:t>
      </w:r>
      <w:r w:rsidRPr="00BF27AF">
        <w:rPr>
          <w:rFonts w:ascii="Times New Roman" w:eastAsia="Calibri" w:hAnsi="Times New Roman" w:cs="Times New Roman"/>
          <w:b/>
          <w:sz w:val="24"/>
          <w:szCs w:val="24"/>
          <w:lang w:eastAsia="hu-HU"/>
        </w:rPr>
        <w:t>elsődleges célja</w:t>
      </w:r>
      <w:r w:rsidRPr="00A918B9">
        <w:rPr>
          <w:rFonts w:ascii="Times New Roman" w:eastAsia="Calibri" w:hAnsi="Times New Roman" w:cs="Times New Roman"/>
          <w:sz w:val="24"/>
          <w:szCs w:val="24"/>
          <w:lang w:eastAsia="hu-HU"/>
        </w:rPr>
        <w:t xml:space="preserve"> az egyes műanyagtermékek környezetre, különösen a vízi környezetre, valamint az emberi egészségre gyakorolt hatásának megelőzése és csökkentése, valamint a körforgásos gazdaságra történő átmenet támogatása innovatív és fenntartható üzleti modellekkel, termékekkel és anyagokkal, hozzájárulva ezáltal a belső piac hatékony működéséhez is.</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A918B9">
        <w:rPr>
          <w:rFonts w:ascii="Times New Roman" w:eastAsia="Calibri" w:hAnsi="Times New Roman" w:cs="Times New Roman"/>
          <w:sz w:val="24"/>
          <w:szCs w:val="24"/>
          <w:lang w:eastAsia="hu-HU"/>
        </w:rPr>
        <w:t xml:space="preserve">A </w:t>
      </w:r>
      <w:r w:rsidRPr="00F84C14">
        <w:rPr>
          <w:rFonts w:ascii="Times New Roman" w:eastAsia="Calibri" w:hAnsi="Times New Roman" w:cs="Times New Roman"/>
          <w:i/>
          <w:sz w:val="24"/>
          <w:szCs w:val="24"/>
          <w:lang w:eastAsia="hu-HU"/>
        </w:rPr>
        <w:t>SUP irányelv 5. cikke</w:t>
      </w:r>
      <w:r w:rsidRPr="00A918B9">
        <w:rPr>
          <w:rFonts w:ascii="Times New Roman" w:eastAsia="Calibri" w:hAnsi="Times New Roman" w:cs="Times New Roman"/>
          <w:sz w:val="24"/>
          <w:szCs w:val="24"/>
          <w:lang w:eastAsia="hu-HU"/>
        </w:rPr>
        <w:t xml:space="preserve"> előírja, hogy </w:t>
      </w:r>
      <w:r w:rsidRPr="00F84C14">
        <w:rPr>
          <w:rFonts w:ascii="Times New Roman" w:eastAsia="Calibri" w:hAnsi="Times New Roman" w:cs="Times New Roman"/>
          <w:b/>
          <w:sz w:val="24"/>
          <w:szCs w:val="24"/>
          <w:lang w:eastAsia="hu-HU"/>
        </w:rPr>
        <w:t xml:space="preserve">a tagállamoknak </w:t>
      </w:r>
      <w:r w:rsidR="00BF27AF" w:rsidRPr="00F84C14">
        <w:rPr>
          <w:rFonts w:ascii="Times New Roman" w:eastAsia="Calibri" w:hAnsi="Times New Roman" w:cs="Times New Roman"/>
          <w:b/>
          <w:sz w:val="24"/>
          <w:szCs w:val="24"/>
          <w:lang w:eastAsia="hu-HU"/>
        </w:rPr>
        <w:t>2021. július 3-tól</w:t>
      </w:r>
      <w:r w:rsidR="00BF27AF" w:rsidRPr="00A918B9">
        <w:rPr>
          <w:rFonts w:ascii="Times New Roman" w:eastAsia="Calibri" w:hAnsi="Times New Roman" w:cs="Times New Roman"/>
          <w:sz w:val="24"/>
          <w:szCs w:val="24"/>
          <w:lang w:eastAsia="hu-HU"/>
        </w:rPr>
        <w:t xml:space="preserve"> </w:t>
      </w:r>
      <w:r w:rsidRPr="00F84C14">
        <w:rPr>
          <w:rFonts w:ascii="Times New Roman" w:eastAsia="Calibri" w:hAnsi="Times New Roman" w:cs="Times New Roman"/>
          <w:b/>
          <w:sz w:val="24"/>
          <w:szCs w:val="24"/>
          <w:lang w:eastAsia="hu-HU"/>
        </w:rPr>
        <w:t>meg kell tiltaniuk</w:t>
      </w:r>
      <w:r w:rsidRPr="00A918B9">
        <w:rPr>
          <w:rFonts w:ascii="Times New Roman" w:eastAsia="Calibri" w:hAnsi="Times New Roman" w:cs="Times New Roman"/>
          <w:sz w:val="24"/>
          <w:szCs w:val="24"/>
          <w:lang w:eastAsia="hu-HU"/>
        </w:rPr>
        <w:t xml:space="preserve"> az oxidatív úton lebomló műanyagból készült termékek és </w:t>
      </w:r>
      <w:r w:rsidRPr="00F84C14">
        <w:rPr>
          <w:rFonts w:ascii="Times New Roman" w:eastAsia="Calibri" w:hAnsi="Times New Roman" w:cs="Times New Roman"/>
          <w:b/>
          <w:sz w:val="24"/>
          <w:szCs w:val="24"/>
          <w:lang w:eastAsia="hu-HU"/>
        </w:rPr>
        <w:t xml:space="preserve">egyes egyszer használatos műanyagtermékek forgalomba hozatalát. </w:t>
      </w:r>
      <w:r w:rsidR="00BF27AF" w:rsidRPr="00F84C14">
        <w:rPr>
          <w:rFonts w:ascii="Times New Roman" w:eastAsia="Calibri" w:hAnsi="Times New Roman" w:cs="Times New Roman"/>
          <w:b/>
          <w:sz w:val="24"/>
          <w:szCs w:val="24"/>
          <w:lang w:eastAsia="hu-HU"/>
        </w:rPr>
        <w:t xml:space="preserve"> </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A918B9">
        <w:rPr>
          <w:rFonts w:ascii="Times New Roman" w:eastAsia="Calibri" w:hAnsi="Times New Roman" w:cs="Times New Roman"/>
          <w:sz w:val="24"/>
          <w:szCs w:val="24"/>
          <w:lang w:eastAsia="hu-HU"/>
        </w:rPr>
        <w:t xml:space="preserve">A SUP irányelv 5. cikkében foglalt forgalomba hozatali korlátozás hazai jogrendbe történő átültetését szolgáló, </w:t>
      </w:r>
      <w:r w:rsidRPr="00F84C14">
        <w:rPr>
          <w:rFonts w:ascii="Times New Roman" w:eastAsia="Calibri" w:hAnsi="Times New Roman" w:cs="Times New Roman"/>
          <w:i/>
          <w:sz w:val="24"/>
          <w:szCs w:val="24"/>
          <w:lang w:eastAsia="hu-HU"/>
        </w:rPr>
        <w:t xml:space="preserve">egyes egyszer használatos, valamint egyes egyéb műanyagtermékek forgalomba hozatalának korlátozásáról szóló </w:t>
      </w:r>
      <w:r w:rsidRPr="00F84C14">
        <w:rPr>
          <w:rFonts w:ascii="Times New Roman" w:eastAsia="Calibri" w:hAnsi="Times New Roman" w:cs="Times New Roman"/>
          <w:b/>
          <w:i/>
          <w:sz w:val="24"/>
          <w:szCs w:val="24"/>
          <w:lang w:eastAsia="hu-HU"/>
        </w:rPr>
        <w:t>301/2021 (VI. 1.) Korm. rendelet</w:t>
      </w:r>
      <w:r w:rsidRPr="00A918B9">
        <w:rPr>
          <w:rFonts w:ascii="Times New Roman" w:eastAsia="Calibri" w:hAnsi="Times New Roman" w:cs="Times New Roman"/>
          <w:sz w:val="24"/>
          <w:szCs w:val="24"/>
          <w:lang w:eastAsia="hu-HU"/>
        </w:rPr>
        <w:t xml:space="preserve"> (a továbbiakban: 301/2021</w:t>
      </w:r>
      <w:r w:rsidR="00BF27AF">
        <w:rPr>
          <w:rFonts w:ascii="Times New Roman" w:eastAsia="Calibri" w:hAnsi="Times New Roman" w:cs="Times New Roman"/>
          <w:sz w:val="24"/>
          <w:szCs w:val="24"/>
          <w:lang w:eastAsia="hu-HU"/>
        </w:rPr>
        <w:t>.</w:t>
      </w:r>
      <w:r w:rsidRPr="00A918B9">
        <w:rPr>
          <w:rFonts w:ascii="Times New Roman" w:eastAsia="Calibri" w:hAnsi="Times New Roman" w:cs="Times New Roman"/>
          <w:sz w:val="24"/>
          <w:szCs w:val="24"/>
          <w:lang w:eastAsia="hu-HU"/>
        </w:rPr>
        <w:t xml:space="preserve"> Korm. rendelet) </w:t>
      </w:r>
      <w:r w:rsidRPr="00F84C14">
        <w:rPr>
          <w:rFonts w:ascii="Times New Roman" w:eastAsia="Calibri" w:hAnsi="Times New Roman" w:cs="Times New Roman"/>
          <w:b/>
          <w:sz w:val="24"/>
          <w:szCs w:val="24"/>
          <w:lang w:eastAsia="hu-HU"/>
        </w:rPr>
        <w:t xml:space="preserve">2021. július 1-jén lépett hatályba. </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A918B9" w:rsidRDefault="00ED638E" w:rsidP="00ED638E">
      <w:pPr>
        <w:spacing w:after="0" w:line="240" w:lineRule="auto"/>
        <w:jc w:val="both"/>
        <w:rPr>
          <w:rFonts w:ascii="Times New Roman" w:eastAsia="Calibri" w:hAnsi="Times New Roman" w:cs="Times New Roman"/>
          <w:sz w:val="24"/>
          <w:szCs w:val="24"/>
        </w:rPr>
      </w:pPr>
      <w:r w:rsidRPr="00A918B9">
        <w:rPr>
          <w:rFonts w:ascii="Times New Roman" w:eastAsia="Calibri" w:hAnsi="Times New Roman" w:cs="Times New Roman"/>
          <w:sz w:val="24"/>
          <w:szCs w:val="24"/>
          <w:lang w:eastAsia="hu-HU"/>
        </w:rPr>
        <w:t xml:space="preserve">A 301/2021. rendelet az alábbi forgalomba hozatalt </w:t>
      </w:r>
      <w:r w:rsidRPr="00F84C14">
        <w:rPr>
          <w:rFonts w:ascii="Times New Roman" w:eastAsia="Calibri" w:hAnsi="Times New Roman" w:cs="Times New Roman"/>
          <w:b/>
          <w:sz w:val="24"/>
          <w:szCs w:val="24"/>
          <w:lang w:eastAsia="hu-HU"/>
        </w:rPr>
        <w:t>tiltó rendelkezéseket</w:t>
      </w:r>
      <w:r w:rsidRPr="00A918B9">
        <w:rPr>
          <w:rFonts w:ascii="Times New Roman" w:eastAsia="Calibri" w:hAnsi="Times New Roman" w:cs="Times New Roman"/>
          <w:sz w:val="24"/>
          <w:szCs w:val="24"/>
          <w:lang w:eastAsia="hu-HU"/>
        </w:rPr>
        <w:t xml:space="preserve"> tartalmazza:</w:t>
      </w:r>
    </w:p>
    <w:p w:rsidR="00ED638E" w:rsidRPr="00F84C14" w:rsidRDefault="00ED638E" w:rsidP="00F84C14">
      <w:pPr>
        <w:tabs>
          <w:tab w:val="left" w:pos="284"/>
        </w:tabs>
        <w:spacing w:after="0" w:line="240" w:lineRule="auto"/>
        <w:contextualSpacing/>
        <w:jc w:val="both"/>
        <w:rPr>
          <w:rFonts w:ascii="Times New Roman" w:hAnsi="Times New Roman" w:cs="Times New Roman"/>
          <w:b/>
          <w:sz w:val="24"/>
          <w:szCs w:val="24"/>
          <w:lang w:eastAsia="hu-HU"/>
        </w:rPr>
      </w:pPr>
      <w:r w:rsidRPr="00F84C14">
        <w:rPr>
          <w:rFonts w:ascii="Times New Roman" w:hAnsi="Times New Roman" w:cs="Times New Roman"/>
          <w:b/>
          <w:sz w:val="24"/>
          <w:szCs w:val="24"/>
        </w:rPr>
        <w:t>I.</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A SUP irányelv előírása szerint az oxidatív úton lebomló műanyagból készült termékek, valamint az alábbi, egyszer használatos műanyag termékek forgalomba hozatala </w:t>
      </w:r>
      <w:r w:rsidRPr="00F84C14">
        <w:rPr>
          <w:rFonts w:ascii="Times New Roman" w:hAnsi="Times New Roman" w:cs="Times New Roman"/>
          <w:b/>
          <w:sz w:val="24"/>
          <w:szCs w:val="24"/>
        </w:rPr>
        <w:t xml:space="preserve">tiltásra </w:t>
      </w:r>
      <w:r w:rsidR="00BF27AF" w:rsidRPr="00F84C14">
        <w:rPr>
          <w:rFonts w:ascii="Times New Roman" w:hAnsi="Times New Roman" w:cs="Times New Roman"/>
          <w:b/>
          <w:sz w:val="24"/>
          <w:szCs w:val="24"/>
        </w:rPr>
        <w:t xml:space="preserve">került </w:t>
      </w:r>
      <w:r w:rsidRPr="00F84C14">
        <w:rPr>
          <w:rFonts w:ascii="Times New Roman" w:hAnsi="Times New Roman" w:cs="Times New Roman"/>
          <w:b/>
          <w:sz w:val="24"/>
          <w:szCs w:val="24"/>
        </w:rPr>
        <w:t>2021. július 1-től:</w:t>
      </w:r>
    </w:p>
    <w:p w:rsidR="00ED638E" w:rsidRPr="00A918B9" w:rsidRDefault="00ED638E" w:rsidP="00BF27AF">
      <w:pPr>
        <w:spacing w:after="0" w:line="240" w:lineRule="auto"/>
        <w:ind w:left="709" w:hanging="283"/>
        <w:jc w:val="both"/>
        <w:rPr>
          <w:rFonts w:ascii="Times New Roman" w:hAnsi="Times New Roman" w:cs="Times New Roman"/>
          <w:sz w:val="24"/>
          <w:szCs w:val="24"/>
        </w:rPr>
      </w:pPr>
      <w:r w:rsidRPr="00A918B9">
        <w:rPr>
          <w:rFonts w:ascii="Times New Roman" w:hAnsi="Times New Roman" w:cs="Times New Roman"/>
          <w:sz w:val="24"/>
          <w:szCs w:val="24"/>
        </w:rPr>
        <w:t>1.</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Fültisztító pálcikák; </w:t>
      </w:r>
    </w:p>
    <w:p w:rsidR="00ED638E" w:rsidRPr="00A918B9" w:rsidRDefault="00ED638E" w:rsidP="00BF27AF">
      <w:pPr>
        <w:spacing w:after="0" w:line="240" w:lineRule="auto"/>
        <w:ind w:left="709" w:hanging="283"/>
        <w:jc w:val="both"/>
        <w:rPr>
          <w:rFonts w:ascii="Times New Roman" w:hAnsi="Times New Roman" w:cs="Times New Roman"/>
          <w:sz w:val="24"/>
          <w:szCs w:val="24"/>
        </w:rPr>
      </w:pPr>
      <w:r w:rsidRPr="00A918B9">
        <w:rPr>
          <w:rFonts w:ascii="Times New Roman" w:hAnsi="Times New Roman" w:cs="Times New Roman"/>
          <w:sz w:val="24"/>
          <w:szCs w:val="24"/>
        </w:rPr>
        <w:t>2.</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Evőeszközök (villák, kések, kanalak, evőpálcikák); </w:t>
      </w:r>
    </w:p>
    <w:p w:rsidR="00ED638E" w:rsidRPr="00A918B9" w:rsidRDefault="00ED638E" w:rsidP="00BF27AF">
      <w:pPr>
        <w:spacing w:after="0" w:line="240" w:lineRule="auto"/>
        <w:ind w:left="709" w:hanging="283"/>
        <w:jc w:val="both"/>
        <w:rPr>
          <w:rFonts w:ascii="Times New Roman" w:hAnsi="Times New Roman" w:cs="Times New Roman"/>
          <w:sz w:val="24"/>
          <w:szCs w:val="24"/>
        </w:rPr>
      </w:pPr>
      <w:r w:rsidRPr="00A918B9">
        <w:rPr>
          <w:rFonts w:ascii="Times New Roman" w:hAnsi="Times New Roman" w:cs="Times New Roman"/>
          <w:sz w:val="24"/>
          <w:szCs w:val="24"/>
        </w:rPr>
        <w:t>3.</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Tányérok; </w:t>
      </w:r>
    </w:p>
    <w:p w:rsidR="00ED638E" w:rsidRPr="00A918B9" w:rsidRDefault="00ED638E" w:rsidP="00BF27AF">
      <w:pPr>
        <w:spacing w:after="0" w:line="240" w:lineRule="auto"/>
        <w:ind w:left="709" w:hanging="283"/>
        <w:jc w:val="both"/>
        <w:rPr>
          <w:rFonts w:ascii="Times New Roman" w:hAnsi="Times New Roman" w:cs="Times New Roman"/>
          <w:sz w:val="24"/>
          <w:szCs w:val="24"/>
        </w:rPr>
      </w:pPr>
      <w:r w:rsidRPr="00A918B9">
        <w:rPr>
          <w:rFonts w:ascii="Times New Roman" w:hAnsi="Times New Roman" w:cs="Times New Roman"/>
          <w:sz w:val="24"/>
          <w:szCs w:val="24"/>
        </w:rPr>
        <w:t>4.</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Szívószálak; </w:t>
      </w:r>
    </w:p>
    <w:p w:rsidR="00ED638E" w:rsidRPr="00A918B9" w:rsidRDefault="00ED638E" w:rsidP="00BF27AF">
      <w:pPr>
        <w:spacing w:after="0" w:line="240" w:lineRule="auto"/>
        <w:ind w:left="709" w:hanging="283"/>
        <w:jc w:val="both"/>
        <w:rPr>
          <w:rFonts w:ascii="Times New Roman" w:hAnsi="Times New Roman" w:cs="Times New Roman"/>
          <w:sz w:val="24"/>
          <w:szCs w:val="24"/>
        </w:rPr>
      </w:pPr>
      <w:r w:rsidRPr="00A918B9">
        <w:rPr>
          <w:rFonts w:ascii="Times New Roman" w:hAnsi="Times New Roman" w:cs="Times New Roman"/>
          <w:sz w:val="24"/>
          <w:szCs w:val="24"/>
        </w:rPr>
        <w:t>5.</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Italkeverő pálcikák; </w:t>
      </w:r>
    </w:p>
    <w:p w:rsidR="00ED638E" w:rsidRPr="00A918B9" w:rsidRDefault="00ED638E" w:rsidP="00F84C14">
      <w:pPr>
        <w:spacing w:after="0" w:line="240" w:lineRule="auto"/>
        <w:ind w:left="851" w:hanging="425"/>
        <w:jc w:val="both"/>
        <w:rPr>
          <w:rFonts w:ascii="Times New Roman" w:hAnsi="Times New Roman" w:cs="Times New Roman"/>
          <w:sz w:val="24"/>
          <w:szCs w:val="24"/>
        </w:rPr>
      </w:pPr>
      <w:r w:rsidRPr="00A918B9">
        <w:rPr>
          <w:rFonts w:ascii="Times New Roman" w:hAnsi="Times New Roman" w:cs="Times New Roman"/>
          <w:sz w:val="24"/>
          <w:szCs w:val="24"/>
        </w:rPr>
        <w:t>6. </w:t>
      </w:r>
      <w:r w:rsidR="00BF27AF">
        <w:rPr>
          <w:rFonts w:ascii="Times New Roman" w:hAnsi="Times New Roman" w:cs="Times New Roman"/>
          <w:sz w:val="24"/>
          <w:szCs w:val="24"/>
        </w:rPr>
        <w:t xml:space="preserve">  </w:t>
      </w:r>
      <w:r w:rsidRPr="00A918B9">
        <w:rPr>
          <w:rFonts w:ascii="Times New Roman" w:hAnsi="Times New Roman" w:cs="Times New Roman"/>
          <w:sz w:val="24"/>
          <w:szCs w:val="24"/>
        </w:rPr>
        <w:t xml:space="preserve">Léggömbökhöz – kivéve az ipari vagy más foglalkozásszerű felhasználásra szánt ballonokat, valamint a fogyasztók számára nem értékesített alkalmazásokat – rögzítendő és azokat tartó pálcák, beleértve a léggömböt a pálcához rögzítő szerkezetet; </w:t>
      </w:r>
    </w:p>
    <w:p w:rsidR="00ED638E" w:rsidRPr="00A918B9" w:rsidRDefault="00ED638E" w:rsidP="00BF27AF">
      <w:pPr>
        <w:spacing w:after="0" w:line="240" w:lineRule="auto"/>
        <w:ind w:left="851" w:hanging="425"/>
        <w:jc w:val="both"/>
        <w:rPr>
          <w:rFonts w:ascii="Times New Roman" w:hAnsi="Times New Roman" w:cs="Times New Roman"/>
          <w:sz w:val="24"/>
          <w:szCs w:val="24"/>
        </w:rPr>
      </w:pPr>
      <w:r w:rsidRPr="00A918B9">
        <w:rPr>
          <w:rFonts w:ascii="Times New Roman" w:hAnsi="Times New Roman" w:cs="Times New Roman"/>
          <w:sz w:val="24"/>
          <w:szCs w:val="24"/>
        </w:rPr>
        <w:t xml:space="preserve">7.    Expandált polisztirolból készült ételtároló edények, azaz ételtartók, például dobozok tetővel vagy anélkül, amelyek olyan ételek tárolására szolgálnak, amelyek: </w:t>
      </w:r>
    </w:p>
    <w:p w:rsidR="00ED638E" w:rsidRPr="00A918B9" w:rsidRDefault="00BF27AF" w:rsidP="00F84C14">
      <w:pPr>
        <w:spacing w:after="0" w:line="240" w:lineRule="auto"/>
        <w:jc w:val="both"/>
        <w:rPr>
          <w:rFonts w:ascii="Times New Roman" w:hAnsi="Times New Roman" w:cs="Times New Roman"/>
          <w:sz w:val="24"/>
          <w:szCs w:val="24"/>
        </w:rPr>
      </w:pPr>
      <w:r>
        <w:rPr>
          <w:rFonts w:ascii="Times New Roman" w:hAnsi="Times New Roman" w:cs="Times New Roman"/>
          <w:color w:val="002060"/>
          <w:sz w:val="24"/>
          <w:szCs w:val="24"/>
        </w:rPr>
        <w:t xml:space="preserve">       </w:t>
      </w:r>
      <w:r w:rsidR="00ED638E" w:rsidRPr="00A918B9">
        <w:rPr>
          <w:rFonts w:ascii="Times New Roman" w:hAnsi="Times New Roman" w:cs="Times New Roman"/>
          <w:sz w:val="24"/>
          <w:szCs w:val="24"/>
        </w:rPr>
        <w:t xml:space="preserve">7.1. azonnal fogyaszthatók helyben vagy elvitelre, </w:t>
      </w:r>
    </w:p>
    <w:p w:rsidR="00ED638E" w:rsidRPr="00A918B9" w:rsidRDefault="00ED638E" w:rsidP="00BF27AF">
      <w:pPr>
        <w:spacing w:after="0" w:line="240" w:lineRule="auto"/>
        <w:ind w:left="709" w:hanging="283"/>
        <w:jc w:val="both"/>
        <w:rPr>
          <w:rFonts w:ascii="Times New Roman" w:eastAsia="Calibri" w:hAnsi="Times New Roman" w:cs="Times New Roman"/>
          <w:sz w:val="24"/>
          <w:szCs w:val="24"/>
        </w:rPr>
      </w:pPr>
      <w:r w:rsidRPr="00A918B9">
        <w:rPr>
          <w:rFonts w:ascii="Times New Roman" w:eastAsia="Calibri" w:hAnsi="Times New Roman" w:cs="Times New Roman"/>
          <w:sz w:val="24"/>
          <w:szCs w:val="24"/>
          <w:lang w:eastAsia="hu-HU"/>
        </w:rPr>
        <w:t xml:space="preserve">7.2. fogyasztása általában az edényből történik, </w:t>
      </w:r>
    </w:p>
    <w:p w:rsidR="00ED638E" w:rsidRPr="00A918B9" w:rsidRDefault="00ED638E" w:rsidP="00BF27AF">
      <w:pPr>
        <w:spacing w:after="0" w:line="240" w:lineRule="auto"/>
        <w:ind w:left="851" w:hanging="425"/>
        <w:jc w:val="both"/>
        <w:rPr>
          <w:rFonts w:ascii="Times New Roman" w:eastAsia="Calibri" w:hAnsi="Times New Roman" w:cs="Times New Roman"/>
          <w:sz w:val="24"/>
          <w:szCs w:val="24"/>
        </w:rPr>
      </w:pPr>
      <w:r w:rsidRPr="00A918B9">
        <w:rPr>
          <w:rFonts w:ascii="Times New Roman" w:eastAsia="Calibri" w:hAnsi="Times New Roman" w:cs="Times New Roman"/>
          <w:sz w:val="24"/>
          <w:szCs w:val="24"/>
          <w:lang w:eastAsia="hu-HU"/>
        </w:rPr>
        <w:t>7.3. készételként fogyaszthatók, azaz további elkészítést, például főzést, forralást vagy melegítést nem igényelnek, beleértve például a gyorsételekhez vagy egyéb készételekhez használt ételtároló edényeket, kivéve az italtárolókat, tányérokat és tasakokat, valamint az ételt tartalmazó csomagolásokat;</w:t>
      </w:r>
    </w:p>
    <w:p w:rsidR="00ED638E" w:rsidRPr="00A918B9" w:rsidRDefault="00ED638E" w:rsidP="00BF27AF">
      <w:pPr>
        <w:spacing w:after="0" w:line="240" w:lineRule="auto"/>
        <w:ind w:left="709" w:hanging="283"/>
        <w:jc w:val="both"/>
        <w:rPr>
          <w:rFonts w:ascii="Times New Roman" w:hAnsi="Times New Roman" w:cs="Times New Roman"/>
          <w:sz w:val="24"/>
          <w:szCs w:val="24"/>
          <w:lang w:eastAsia="hu-HU"/>
        </w:rPr>
      </w:pPr>
      <w:r w:rsidRPr="00A918B9">
        <w:rPr>
          <w:rFonts w:ascii="Times New Roman" w:hAnsi="Times New Roman" w:cs="Times New Roman"/>
          <w:sz w:val="24"/>
          <w:szCs w:val="24"/>
        </w:rPr>
        <w:t>8.    Expandált polisztirolból készült italtárolók, beleértve a kupakjukat és a fedelüket is;</w:t>
      </w:r>
    </w:p>
    <w:p w:rsidR="00ED638E" w:rsidRPr="00A918B9" w:rsidRDefault="00ED638E" w:rsidP="00BF27AF">
      <w:pPr>
        <w:spacing w:after="0" w:line="240" w:lineRule="auto"/>
        <w:ind w:left="709" w:hanging="283"/>
        <w:jc w:val="both"/>
        <w:rPr>
          <w:rFonts w:ascii="Times New Roman" w:hAnsi="Times New Roman" w:cs="Times New Roman"/>
          <w:sz w:val="24"/>
          <w:szCs w:val="24"/>
        </w:rPr>
      </w:pPr>
      <w:r w:rsidRPr="00A918B9">
        <w:rPr>
          <w:rFonts w:ascii="Times New Roman" w:hAnsi="Times New Roman" w:cs="Times New Roman"/>
          <w:sz w:val="24"/>
          <w:szCs w:val="24"/>
        </w:rPr>
        <w:t>9.    Expandált polisztirolból készült italtartó poharak, beleértve azok tetejét és fedelét is.</w:t>
      </w:r>
    </w:p>
    <w:p w:rsidR="00ED638E" w:rsidRPr="00A918B9" w:rsidRDefault="00ED638E" w:rsidP="00ED638E">
      <w:pPr>
        <w:spacing w:after="0" w:line="240" w:lineRule="auto"/>
        <w:jc w:val="both"/>
        <w:rPr>
          <w:rFonts w:ascii="Times New Roman" w:eastAsia="Calibri" w:hAnsi="Times New Roman" w:cs="Times New Roman"/>
          <w:sz w:val="24"/>
          <w:szCs w:val="24"/>
        </w:rPr>
      </w:pPr>
    </w:p>
    <w:p w:rsidR="00ED638E" w:rsidRPr="00A918B9" w:rsidRDefault="00ED638E" w:rsidP="00ED638E">
      <w:pPr>
        <w:spacing w:after="0" w:line="240" w:lineRule="auto"/>
        <w:ind w:left="284"/>
        <w:jc w:val="both"/>
        <w:rPr>
          <w:rFonts w:ascii="Times New Roman" w:eastAsia="Calibri" w:hAnsi="Times New Roman" w:cs="Times New Roman"/>
          <w:sz w:val="24"/>
          <w:szCs w:val="24"/>
        </w:rPr>
      </w:pPr>
      <w:r w:rsidRPr="00F84C14">
        <w:rPr>
          <w:rFonts w:ascii="Times New Roman" w:eastAsia="Calibri" w:hAnsi="Times New Roman" w:cs="Times New Roman"/>
          <w:b/>
          <w:sz w:val="24"/>
          <w:szCs w:val="24"/>
          <w:lang w:eastAsia="hu-HU"/>
        </w:rPr>
        <w:t>II.</w:t>
      </w:r>
      <w:r w:rsidRPr="00A918B9">
        <w:rPr>
          <w:rFonts w:ascii="Times New Roman" w:eastAsia="Calibri" w:hAnsi="Times New Roman" w:cs="Times New Roman"/>
          <w:sz w:val="24"/>
          <w:szCs w:val="24"/>
          <w:lang w:eastAsia="hu-HU"/>
        </w:rPr>
        <w:t xml:space="preserve"> A SUP irányelv előírásain túl </w:t>
      </w:r>
      <w:r w:rsidRPr="00F84C14">
        <w:rPr>
          <w:rFonts w:ascii="Times New Roman" w:eastAsia="Calibri" w:hAnsi="Times New Roman" w:cs="Times New Roman"/>
          <w:b/>
          <w:sz w:val="24"/>
          <w:szCs w:val="24"/>
          <w:lang w:eastAsia="hu-HU"/>
        </w:rPr>
        <w:t>az alábbi termékek forgalomba hozatala is tiltott:</w:t>
      </w:r>
    </w:p>
    <w:p w:rsidR="00ED638E" w:rsidRPr="00A918B9" w:rsidRDefault="00ED638E" w:rsidP="00BF27AF">
      <w:pPr>
        <w:spacing w:after="0" w:line="240" w:lineRule="auto"/>
        <w:ind w:left="851" w:hanging="425"/>
        <w:contextualSpacing/>
        <w:jc w:val="both"/>
        <w:rPr>
          <w:rFonts w:ascii="Times New Roman" w:hAnsi="Times New Roman" w:cs="Times New Roman"/>
          <w:sz w:val="24"/>
          <w:szCs w:val="24"/>
          <w:lang w:eastAsia="hu-HU"/>
        </w:rPr>
      </w:pPr>
      <w:r w:rsidRPr="00A918B9">
        <w:rPr>
          <w:rFonts w:ascii="Times New Roman" w:hAnsi="Times New Roman" w:cs="Times New Roman"/>
          <w:sz w:val="24"/>
          <w:szCs w:val="24"/>
        </w:rPr>
        <w:t>1.    2021. július 1-től</w:t>
      </w:r>
      <w:r w:rsidRPr="00A918B9">
        <w:rPr>
          <w:rFonts w:ascii="Times New Roman" w:hAnsi="Times New Roman" w:cs="Times New Roman"/>
          <w:b/>
          <w:bCs/>
          <w:sz w:val="24"/>
          <w:szCs w:val="24"/>
        </w:rPr>
        <w:t xml:space="preserve"> </w:t>
      </w:r>
      <w:r w:rsidRPr="00F84C14">
        <w:rPr>
          <w:rFonts w:ascii="Times New Roman" w:hAnsi="Times New Roman" w:cs="Times New Roman"/>
          <w:b/>
          <w:sz w:val="24"/>
          <w:szCs w:val="24"/>
        </w:rPr>
        <w:t>a</w:t>
      </w:r>
      <w:r w:rsidRPr="00050CD5">
        <w:rPr>
          <w:rFonts w:ascii="Times New Roman" w:hAnsi="Times New Roman" w:cs="Times New Roman"/>
          <w:b/>
          <w:bCs/>
          <w:sz w:val="24"/>
          <w:szCs w:val="24"/>
        </w:rPr>
        <w:t xml:space="preserve"> </w:t>
      </w:r>
      <w:r w:rsidRPr="00F84C14">
        <w:rPr>
          <w:rFonts w:ascii="Times New Roman" w:hAnsi="Times New Roman" w:cs="Times New Roman"/>
          <w:b/>
          <w:sz w:val="24"/>
          <w:szCs w:val="24"/>
        </w:rPr>
        <w:t>könnyű műanyag hordtasak,</w:t>
      </w:r>
      <w:r w:rsidRPr="00A918B9">
        <w:rPr>
          <w:rFonts w:ascii="Times New Roman" w:hAnsi="Times New Roman" w:cs="Times New Roman"/>
          <w:sz w:val="24"/>
          <w:szCs w:val="24"/>
        </w:rPr>
        <w:t xml:space="preserve"> amelynek falvastagsága 15-50 mikron közötti, a biológiailag lebomló műanyagból készült kivételével,</w:t>
      </w:r>
    </w:p>
    <w:p w:rsidR="00ED638E" w:rsidRPr="00A918B9" w:rsidRDefault="00ED638E" w:rsidP="00BF27AF">
      <w:pPr>
        <w:spacing w:after="0" w:line="240" w:lineRule="auto"/>
        <w:ind w:left="851" w:hanging="425"/>
        <w:contextualSpacing/>
        <w:jc w:val="both"/>
        <w:rPr>
          <w:rFonts w:ascii="Times New Roman" w:hAnsi="Times New Roman" w:cs="Times New Roman"/>
          <w:sz w:val="24"/>
          <w:szCs w:val="24"/>
        </w:rPr>
      </w:pPr>
      <w:r w:rsidRPr="00A918B9">
        <w:rPr>
          <w:rFonts w:ascii="Times New Roman" w:hAnsi="Times New Roman" w:cs="Times New Roman"/>
          <w:sz w:val="24"/>
          <w:szCs w:val="24"/>
        </w:rPr>
        <w:t xml:space="preserve">2.    2023. január 1-től </w:t>
      </w:r>
      <w:r w:rsidRPr="00F84C14">
        <w:rPr>
          <w:rFonts w:ascii="Times New Roman" w:hAnsi="Times New Roman" w:cs="Times New Roman"/>
          <w:b/>
          <w:sz w:val="24"/>
          <w:szCs w:val="24"/>
        </w:rPr>
        <w:t>az italtartó poharak,</w:t>
      </w:r>
      <w:r w:rsidRPr="00A918B9">
        <w:rPr>
          <w:rFonts w:ascii="Times New Roman" w:hAnsi="Times New Roman" w:cs="Times New Roman"/>
          <w:sz w:val="24"/>
          <w:szCs w:val="24"/>
        </w:rPr>
        <w:t xml:space="preserve"> beleértve azok tetejét és fedelét is (a tiltás kiterjed a műanyag bevonatos papírpoharakra is).</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r w:rsidRPr="00A918B9">
        <w:rPr>
          <w:rFonts w:ascii="Times New Roman" w:eastAsia="Calibri" w:hAnsi="Times New Roman" w:cs="Times New Roman"/>
          <w:sz w:val="24"/>
          <w:szCs w:val="24"/>
          <w:lang w:eastAsia="hu-HU"/>
        </w:rPr>
        <w:t xml:space="preserve">A SUP irányelv forgalomba hozatali korlátozásain túli rendelkezéseit </w:t>
      </w:r>
      <w:r w:rsidRPr="00F84C14">
        <w:rPr>
          <w:rFonts w:ascii="Times New Roman" w:eastAsia="Calibri" w:hAnsi="Times New Roman" w:cs="Times New Roman"/>
          <w:i/>
          <w:sz w:val="24"/>
          <w:szCs w:val="24"/>
          <w:lang w:eastAsia="hu-HU"/>
        </w:rPr>
        <w:t xml:space="preserve">az egyes műanyagtermékek környezetre gyakorolt hatásának csökkentéséről szóló 349/2021. (VI. 22.) Korm. rendelet </w:t>
      </w:r>
      <w:r w:rsidRPr="00A918B9">
        <w:rPr>
          <w:rFonts w:ascii="Times New Roman" w:eastAsia="Calibri" w:hAnsi="Times New Roman" w:cs="Times New Roman"/>
          <w:sz w:val="24"/>
          <w:szCs w:val="24"/>
          <w:lang w:eastAsia="hu-HU"/>
        </w:rPr>
        <w:t>(a továbbiakban: 349/2021. Korm. rendelet) tartalmazza.</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F84C14">
        <w:rPr>
          <w:rFonts w:ascii="Times New Roman" w:eastAsia="Calibri" w:hAnsi="Times New Roman" w:cs="Times New Roman"/>
          <w:b/>
          <w:sz w:val="24"/>
          <w:szCs w:val="24"/>
          <w:lang w:eastAsia="hu-HU"/>
        </w:rPr>
        <w:t>A 349/2021. Korm. rendelet</w:t>
      </w:r>
      <w:r w:rsidRPr="00A918B9">
        <w:rPr>
          <w:rFonts w:ascii="Times New Roman" w:eastAsia="Calibri" w:hAnsi="Times New Roman" w:cs="Times New Roman"/>
          <w:sz w:val="24"/>
          <w:szCs w:val="24"/>
          <w:lang w:eastAsia="hu-HU"/>
        </w:rPr>
        <w:t xml:space="preserve"> többek között a SUP irányelv alábbi rendelkezéseit </w:t>
      </w:r>
      <w:r w:rsidRPr="00F84C14">
        <w:rPr>
          <w:rFonts w:ascii="Times New Roman" w:eastAsia="Calibri" w:hAnsi="Times New Roman" w:cs="Times New Roman"/>
          <w:b/>
          <w:sz w:val="24"/>
          <w:szCs w:val="24"/>
          <w:lang w:eastAsia="hu-HU"/>
        </w:rPr>
        <w:t xml:space="preserve">ülteti át a hazai jogrendbe: </w:t>
      </w:r>
    </w:p>
    <w:p w:rsidR="00ED638E" w:rsidRPr="00A918B9" w:rsidRDefault="00ED638E" w:rsidP="00BF27AF">
      <w:pPr>
        <w:pStyle w:val="Listaszerbekezds"/>
        <w:numPr>
          <w:ilvl w:val="0"/>
          <w:numId w:val="25"/>
        </w:numPr>
        <w:spacing w:after="0" w:line="240" w:lineRule="auto"/>
        <w:ind w:left="426" w:hanging="284"/>
        <w:jc w:val="both"/>
        <w:rPr>
          <w:rFonts w:ascii="Times New Roman" w:hAnsi="Times New Roman" w:cs="Times New Roman"/>
          <w:sz w:val="24"/>
          <w:szCs w:val="24"/>
        </w:rPr>
      </w:pPr>
      <w:r w:rsidRPr="00A918B9">
        <w:rPr>
          <w:rFonts w:ascii="Times New Roman" w:hAnsi="Times New Roman" w:cs="Times New Roman"/>
          <w:sz w:val="24"/>
          <w:szCs w:val="24"/>
        </w:rPr>
        <w:t xml:space="preserve">a tagországoknak 2026-ra a 2022-es adatokhoz képest mérhető </w:t>
      </w:r>
      <w:r w:rsidRPr="00F84C14">
        <w:rPr>
          <w:rFonts w:ascii="Times New Roman" w:hAnsi="Times New Roman" w:cs="Times New Roman"/>
          <w:b/>
          <w:sz w:val="24"/>
          <w:szCs w:val="24"/>
        </w:rPr>
        <w:t>mennyiségi csökkenést kell elérni</w:t>
      </w:r>
      <w:r w:rsidRPr="00A918B9">
        <w:rPr>
          <w:rFonts w:ascii="Times New Roman" w:hAnsi="Times New Roman" w:cs="Times New Roman"/>
          <w:sz w:val="24"/>
          <w:szCs w:val="24"/>
        </w:rPr>
        <w:t xml:space="preserve"> az egyszer használatos műanyag italtartó poharak és ételtároló edények használatában,</w:t>
      </w:r>
    </w:p>
    <w:p w:rsidR="00ED638E" w:rsidRPr="00A918B9" w:rsidRDefault="00ED638E" w:rsidP="00BF27AF">
      <w:pPr>
        <w:pStyle w:val="Listaszerbekezds"/>
        <w:numPr>
          <w:ilvl w:val="0"/>
          <w:numId w:val="25"/>
        </w:numPr>
        <w:spacing w:after="0" w:line="240" w:lineRule="auto"/>
        <w:ind w:left="426" w:hanging="284"/>
        <w:jc w:val="both"/>
        <w:rPr>
          <w:rFonts w:ascii="Times New Roman" w:hAnsi="Times New Roman" w:cs="Times New Roman"/>
          <w:sz w:val="24"/>
          <w:szCs w:val="24"/>
        </w:rPr>
      </w:pPr>
      <w:r w:rsidRPr="00F84C14">
        <w:rPr>
          <w:rFonts w:ascii="Times New Roman" w:hAnsi="Times New Roman" w:cs="Times New Roman"/>
          <w:b/>
          <w:sz w:val="24"/>
          <w:szCs w:val="24"/>
        </w:rPr>
        <w:t>termékkövetelmények</w:t>
      </w:r>
      <w:r w:rsidRPr="00A918B9">
        <w:rPr>
          <w:rFonts w:ascii="Times New Roman" w:hAnsi="Times New Roman" w:cs="Times New Roman"/>
          <w:sz w:val="24"/>
          <w:szCs w:val="24"/>
        </w:rPr>
        <w:t>et szükséges alkalmazni az egyes, legfeljebb három liter űrtartalmú műanyag italtárolókra és italpalackokra,</w:t>
      </w:r>
    </w:p>
    <w:p w:rsidR="00ED638E" w:rsidRPr="00A918B9" w:rsidRDefault="00ED638E" w:rsidP="00BF27AF">
      <w:pPr>
        <w:pStyle w:val="Listaszerbekezds"/>
        <w:numPr>
          <w:ilvl w:val="0"/>
          <w:numId w:val="25"/>
        </w:numPr>
        <w:spacing w:after="0" w:line="240" w:lineRule="auto"/>
        <w:ind w:left="426" w:hanging="284"/>
        <w:jc w:val="both"/>
        <w:rPr>
          <w:rFonts w:ascii="Times New Roman" w:hAnsi="Times New Roman" w:cs="Times New Roman"/>
          <w:sz w:val="24"/>
          <w:szCs w:val="24"/>
        </w:rPr>
      </w:pPr>
      <w:r w:rsidRPr="00F84C14">
        <w:rPr>
          <w:rFonts w:ascii="Times New Roman" w:hAnsi="Times New Roman" w:cs="Times New Roman"/>
          <w:b/>
          <w:sz w:val="24"/>
          <w:szCs w:val="24"/>
        </w:rPr>
        <w:t>jelölési követelmények</w:t>
      </w:r>
      <w:r w:rsidRPr="00A918B9">
        <w:rPr>
          <w:rFonts w:ascii="Times New Roman" w:hAnsi="Times New Roman" w:cs="Times New Roman"/>
          <w:sz w:val="24"/>
          <w:szCs w:val="24"/>
        </w:rPr>
        <w:t xml:space="preserve">nek szükséges megfeleltetni egyes egyszer használatos műanyagtermékeket a fogyasztó tájékoztatása céljából, a műanyagnak a termékben való jelenlétéről, az adott termék esetében kerülendő hulladékártalmatlanítási módokról, valamint a környezetre gyakorolt negatív hatásról, </w:t>
      </w:r>
    </w:p>
    <w:p w:rsidR="00ED638E" w:rsidRPr="00F84C14" w:rsidRDefault="00ED638E" w:rsidP="00BF27AF">
      <w:pPr>
        <w:pStyle w:val="Listaszerbekezds"/>
        <w:numPr>
          <w:ilvl w:val="0"/>
          <w:numId w:val="25"/>
        </w:numPr>
        <w:spacing w:after="0" w:line="240" w:lineRule="auto"/>
        <w:ind w:left="426" w:hanging="284"/>
        <w:jc w:val="both"/>
        <w:rPr>
          <w:rFonts w:ascii="Times New Roman" w:hAnsi="Times New Roman" w:cs="Times New Roman"/>
          <w:b/>
          <w:sz w:val="24"/>
          <w:szCs w:val="24"/>
        </w:rPr>
      </w:pPr>
      <w:r w:rsidRPr="00A918B9">
        <w:rPr>
          <w:rFonts w:ascii="Times New Roman" w:hAnsi="Times New Roman" w:cs="Times New Roman"/>
          <w:sz w:val="24"/>
          <w:szCs w:val="24"/>
        </w:rPr>
        <w:t xml:space="preserve">a tagországoknak intézkedéseket szükséges tenni abból a célból, hogy a SUP irányelv hatálya alá tartozó termékekből származó </w:t>
      </w:r>
      <w:r w:rsidRPr="00050CD5">
        <w:rPr>
          <w:rFonts w:ascii="Times New Roman" w:hAnsi="Times New Roman" w:cs="Times New Roman"/>
          <w:sz w:val="24"/>
          <w:szCs w:val="24"/>
        </w:rPr>
        <w:t>hulladékelhagyás csökkentése és a felelős fogyasztói magatartás ösztönzése</w:t>
      </w:r>
      <w:r w:rsidRPr="00A918B9">
        <w:rPr>
          <w:rFonts w:ascii="Times New Roman" w:hAnsi="Times New Roman" w:cs="Times New Roman"/>
          <w:sz w:val="24"/>
          <w:szCs w:val="24"/>
        </w:rPr>
        <w:t xml:space="preserve"> érdekében </w:t>
      </w:r>
      <w:r w:rsidRPr="00F84C14">
        <w:rPr>
          <w:rFonts w:ascii="Times New Roman" w:hAnsi="Times New Roman" w:cs="Times New Roman"/>
          <w:b/>
          <w:sz w:val="24"/>
          <w:szCs w:val="24"/>
        </w:rPr>
        <w:t>a fogyasztók</w:t>
      </w:r>
      <w:r w:rsidRPr="00A918B9">
        <w:rPr>
          <w:rFonts w:ascii="Times New Roman" w:hAnsi="Times New Roman" w:cs="Times New Roman"/>
          <w:sz w:val="24"/>
          <w:szCs w:val="24"/>
        </w:rPr>
        <w:t xml:space="preserve"> </w:t>
      </w:r>
      <w:r w:rsidRPr="00F84C14">
        <w:rPr>
          <w:rFonts w:ascii="Times New Roman" w:hAnsi="Times New Roman" w:cs="Times New Roman"/>
          <w:b/>
          <w:sz w:val="24"/>
          <w:szCs w:val="24"/>
        </w:rPr>
        <w:t>figyelemfelhívó tájékoztatást kapjanak,</w:t>
      </w:r>
    </w:p>
    <w:p w:rsidR="00ED638E" w:rsidRPr="00A918B9" w:rsidRDefault="00ED638E" w:rsidP="00BF27AF">
      <w:pPr>
        <w:pStyle w:val="Listaszerbekezds"/>
        <w:numPr>
          <w:ilvl w:val="0"/>
          <w:numId w:val="25"/>
        </w:numPr>
        <w:spacing w:after="0" w:line="240" w:lineRule="auto"/>
        <w:ind w:left="426" w:hanging="284"/>
        <w:jc w:val="both"/>
        <w:rPr>
          <w:rFonts w:ascii="Times New Roman" w:hAnsi="Times New Roman" w:cs="Times New Roman"/>
          <w:sz w:val="24"/>
          <w:szCs w:val="24"/>
        </w:rPr>
      </w:pPr>
      <w:r w:rsidRPr="00A918B9">
        <w:rPr>
          <w:rFonts w:ascii="Times New Roman" w:hAnsi="Times New Roman" w:cs="Times New Roman"/>
          <w:sz w:val="24"/>
          <w:szCs w:val="24"/>
        </w:rPr>
        <w:t xml:space="preserve">a tagállamok számára a SUP irányelv </w:t>
      </w:r>
      <w:r w:rsidRPr="00F84C14">
        <w:rPr>
          <w:rFonts w:ascii="Times New Roman" w:hAnsi="Times New Roman" w:cs="Times New Roman"/>
          <w:b/>
          <w:sz w:val="24"/>
          <w:szCs w:val="24"/>
        </w:rPr>
        <w:t>jelentéstételi kötelezettséget</w:t>
      </w:r>
      <w:r w:rsidRPr="00A918B9">
        <w:rPr>
          <w:rFonts w:ascii="Times New Roman" w:hAnsi="Times New Roman" w:cs="Times New Roman"/>
          <w:sz w:val="24"/>
          <w:szCs w:val="24"/>
        </w:rPr>
        <w:t xml:space="preserve"> ír elő, a megvalósított intézkedések bemutatása, az előírt célok nyomon követése és adatgyűjtés céljából.</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r w:rsidRPr="00A918B9">
        <w:rPr>
          <w:rFonts w:ascii="Times New Roman" w:eastAsia="Calibri" w:hAnsi="Times New Roman" w:cs="Times New Roman"/>
          <w:sz w:val="24"/>
          <w:szCs w:val="24"/>
          <w:lang w:eastAsia="hu-HU"/>
        </w:rPr>
        <w:t>A 349/2021. Korm. rendelet alábbi rendelkezései léptek hatályba 2021. július 3-tól:</w:t>
      </w:r>
    </w:p>
    <w:p w:rsidR="00ED638E" w:rsidRPr="00F84C14" w:rsidRDefault="00ED638E" w:rsidP="00BF27AF">
      <w:pPr>
        <w:pStyle w:val="Listaszerbekezds"/>
        <w:numPr>
          <w:ilvl w:val="0"/>
          <w:numId w:val="26"/>
        </w:numPr>
        <w:spacing w:after="0" w:line="240" w:lineRule="auto"/>
        <w:ind w:left="426" w:hanging="284"/>
        <w:jc w:val="both"/>
        <w:rPr>
          <w:rFonts w:ascii="Times New Roman" w:hAnsi="Times New Roman" w:cs="Times New Roman"/>
          <w:b/>
          <w:sz w:val="24"/>
          <w:szCs w:val="24"/>
        </w:rPr>
      </w:pPr>
      <w:r w:rsidRPr="00A918B9">
        <w:rPr>
          <w:rFonts w:ascii="Times New Roman" w:hAnsi="Times New Roman" w:cs="Times New Roman"/>
          <w:sz w:val="24"/>
          <w:szCs w:val="24"/>
        </w:rPr>
        <w:t xml:space="preserve">a gyártó számára a 9. § és </w:t>
      </w:r>
      <w:r w:rsidR="00050CD5">
        <w:rPr>
          <w:rFonts w:ascii="Times New Roman" w:hAnsi="Times New Roman" w:cs="Times New Roman"/>
          <w:sz w:val="24"/>
          <w:szCs w:val="24"/>
        </w:rPr>
        <w:t xml:space="preserve">a </w:t>
      </w:r>
      <w:r w:rsidRPr="00A918B9">
        <w:rPr>
          <w:rFonts w:ascii="Times New Roman" w:hAnsi="Times New Roman" w:cs="Times New Roman"/>
          <w:sz w:val="24"/>
          <w:szCs w:val="24"/>
        </w:rPr>
        <w:t xml:space="preserve">10. § által előírt, az egyes műanyagtermékek környezetre gyakorolt hatásának csökkentéséről szóló (EU) 2019/904 európai parlamenti és tanácsi irányelv mellékletének D. részében felsorolt egyszer használatos műanyagtermékek harmonizált jelölésére vonatkozó szabályok megállapításáról szóló 2020/2151 bizottsági végrehajtási rendeletben foglaltak szerint teljesítendő </w:t>
      </w:r>
      <w:r w:rsidRPr="00F84C14">
        <w:rPr>
          <w:rFonts w:ascii="Times New Roman" w:hAnsi="Times New Roman" w:cs="Times New Roman"/>
          <w:b/>
          <w:sz w:val="24"/>
          <w:szCs w:val="24"/>
        </w:rPr>
        <w:t>jelölési követelmények,</w:t>
      </w:r>
    </w:p>
    <w:p w:rsidR="00ED638E" w:rsidRPr="00F84C14" w:rsidRDefault="00ED638E" w:rsidP="00BF27AF">
      <w:pPr>
        <w:pStyle w:val="Listaszerbekezds"/>
        <w:numPr>
          <w:ilvl w:val="0"/>
          <w:numId w:val="26"/>
        </w:numPr>
        <w:spacing w:after="0" w:line="240" w:lineRule="auto"/>
        <w:ind w:left="426" w:hanging="284"/>
        <w:jc w:val="both"/>
        <w:rPr>
          <w:rFonts w:ascii="Times New Roman" w:hAnsi="Times New Roman" w:cs="Times New Roman"/>
          <w:b/>
          <w:sz w:val="24"/>
          <w:szCs w:val="24"/>
        </w:rPr>
      </w:pPr>
      <w:r w:rsidRPr="00A918B9">
        <w:rPr>
          <w:rFonts w:ascii="Times New Roman" w:hAnsi="Times New Roman" w:cs="Times New Roman"/>
          <w:sz w:val="24"/>
          <w:szCs w:val="24"/>
        </w:rPr>
        <w:t xml:space="preserve">a 13. § szerint a gyártók számára előírt </w:t>
      </w:r>
      <w:r w:rsidRPr="00F84C14">
        <w:rPr>
          <w:rFonts w:ascii="Times New Roman" w:hAnsi="Times New Roman" w:cs="Times New Roman"/>
          <w:b/>
          <w:sz w:val="24"/>
          <w:szCs w:val="24"/>
        </w:rPr>
        <w:t>figyelemfelkeltő intézkedések.</w:t>
      </w:r>
    </w:p>
    <w:p w:rsidR="00ED638E" w:rsidRPr="00A918B9" w:rsidRDefault="00ED638E" w:rsidP="00ED638E">
      <w:pPr>
        <w:spacing w:after="0" w:line="240" w:lineRule="auto"/>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A918B9">
        <w:rPr>
          <w:rFonts w:ascii="Times New Roman" w:eastAsia="Calibri" w:hAnsi="Times New Roman" w:cs="Times New Roman"/>
          <w:sz w:val="24"/>
          <w:szCs w:val="24"/>
          <w:lang w:eastAsia="hu-HU"/>
        </w:rPr>
        <w:t xml:space="preserve">A gyártók számára a </w:t>
      </w:r>
      <w:r w:rsidR="00050CD5" w:rsidRPr="00050CD5">
        <w:rPr>
          <w:rFonts w:ascii="Times New Roman" w:eastAsia="Calibri" w:hAnsi="Times New Roman" w:cs="Times New Roman"/>
          <w:sz w:val="24"/>
          <w:szCs w:val="24"/>
          <w:lang w:eastAsia="hu-HU"/>
        </w:rPr>
        <w:t xml:space="preserve">349/2021. Korm. rendelet </w:t>
      </w:r>
      <w:r w:rsidRPr="00A918B9">
        <w:rPr>
          <w:rFonts w:ascii="Times New Roman" w:eastAsia="Calibri" w:hAnsi="Times New Roman" w:cs="Times New Roman"/>
          <w:sz w:val="24"/>
          <w:szCs w:val="24"/>
          <w:lang w:eastAsia="hu-HU"/>
        </w:rPr>
        <w:t>14. §-</w:t>
      </w:r>
      <w:r w:rsidR="00050CD5">
        <w:rPr>
          <w:rFonts w:ascii="Times New Roman" w:eastAsia="Calibri" w:hAnsi="Times New Roman" w:cs="Times New Roman"/>
          <w:sz w:val="24"/>
          <w:szCs w:val="24"/>
          <w:lang w:eastAsia="hu-HU"/>
        </w:rPr>
        <w:t>á</w:t>
      </w:r>
      <w:r w:rsidRPr="00A918B9">
        <w:rPr>
          <w:rFonts w:ascii="Times New Roman" w:eastAsia="Calibri" w:hAnsi="Times New Roman" w:cs="Times New Roman"/>
          <w:sz w:val="24"/>
          <w:szCs w:val="24"/>
          <w:lang w:eastAsia="hu-HU"/>
        </w:rPr>
        <w:t xml:space="preserve">ban </w:t>
      </w:r>
      <w:r w:rsidRPr="00F84C14">
        <w:rPr>
          <w:rFonts w:ascii="Times New Roman" w:eastAsia="Calibri" w:hAnsi="Times New Roman" w:cs="Times New Roman"/>
          <w:b/>
          <w:sz w:val="24"/>
          <w:szCs w:val="24"/>
          <w:lang w:eastAsia="hu-HU"/>
        </w:rPr>
        <w:t>nyilvántartásba vételi</w:t>
      </w:r>
      <w:r w:rsidR="00050CD5">
        <w:rPr>
          <w:rFonts w:ascii="Times New Roman" w:eastAsia="Calibri" w:hAnsi="Times New Roman" w:cs="Times New Roman"/>
          <w:b/>
          <w:sz w:val="24"/>
          <w:szCs w:val="24"/>
          <w:lang w:eastAsia="hu-HU"/>
        </w:rPr>
        <w:t xml:space="preserve"> kötelezettség</w:t>
      </w:r>
      <w:r w:rsidRPr="00F84C14">
        <w:rPr>
          <w:rFonts w:ascii="Times New Roman" w:eastAsia="Calibri" w:hAnsi="Times New Roman" w:cs="Times New Roman"/>
          <w:b/>
          <w:sz w:val="24"/>
          <w:szCs w:val="24"/>
          <w:lang w:eastAsia="hu-HU"/>
        </w:rPr>
        <w:t>, a gyártók és a hulladékgyűjtők részére  a 16. §-ban nyilvántartás vezetési</w:t>
      </w:r>
      <w:r w:rsidR="00050CD5">
        <w:rPr>
          <w:rFonts w:ascii="Times New Roman" w:eastAsia="Calibri" w:hAnsi="Times New Roman" w:cs="Times New Roman"/>
          <w:b/>
          <w:sz w:val="24"/>
          <w:szCs w:val="24"/>
          <w:lang w:eastAsia="hu-HU"/>
        </w:rPr>
        <w:t>-</w:t>
      </w:r>
      <w:r w:rsidRPr="00F84C14">
        <w:rPr>
          <w:rFonts w:ascii="Times New Roman" w:eastAsia="Calibri" w:hAnsi="Times New Roman" w:cs="Times New Roman"/>
          <w:b/>
          <w:sz w:val="24"/>
          <w:szCs w:val="24"/>
          <w:lang w:eastAsia="hu-HU"/>
        </w:rPr>
        <w:t xml:space="preserve"> és adatszolgáltatási kötelezettség</w:t>
      </w:r>
      <w:r w:rsidRPr="00A918B9">
        <w:rPr>
          <w:rFonts w:ascii="Times New Roman" w:eastAsia="Calibri" w:hAnsi="Times New Roman" w:cs="Times New Roman"/>
          <w:sz w:val="24"/>
          <w:szCs w:val="24"/>
          <w:lang w:eastAsia="hu-HU"/>
        </w:rPr>
        <w:t xml:space="preserve"> került előírásra, </w:t>
      </w:r>
      <w:r w:rsidR="00050CD5">
        <w:rPr>
          <w:rFonts w:ascii="Times New Roman" w:eastAsia="Calibri" w:hAnsi="Times New Roman" w:cs="Times New Roman"/>
          <w:sz w:val="24"/>
          <w:szCs w:val="24"/>
          <w:lang w:eastAsia="hu-HU"/>
        </w:rPr>
        <w:t>a</w:t>
      </w:r>
      <w:r w:rsidRPr="00A918B9">
        <w:rPr>
          <w:rFonts w:ascii="Times New Roman" w:eastAsia="Calibri" w:hAnsi="Times New Roman" w:cs="Times New Roman"/>
          <w:sz w:val="24"/>
          <w:szCs w:val="24"/>
          <w:lang w:eastAsia="hu-HU"/>
        </w:rPr>
        <w:t xml:space="preserve">mely rendelkezések </w:t>
      </w:r>
      <w:r w:rsidRPr="00F84C14">
        <w:rPr>
          <w:rFonts w:ascii="Times New Roman" w:eastAsia="Calibri" w:hAnsi="Times New Roman" w:cs="Times New Roman"/>
          <w:b/>
          <w:sz w:val="24"/>
          <w:szCs w:val="24"/>
          <w:lang w:eastAsia="hu-HU"/>
        </w:rPr>
        <w:t>2022. január 1-től lépnek hatályba.</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A918B9">
        <w:rPr>
          <w:rFonts w:ascii="Times New Roman" w:eastAsia="Calibri" w:hAnsi="Times New Roman" w:cs="Times New Roman"/>
          <w:sz w:val="24"/>
          <w:szCs w:val="24"/>
          <w:lang w:eastAsia="hu-HU"/>
        </w:rPr>
        <w:t xml:space="preserve">A </w:t>
      </w:r>
      <w:r w:rsidR="00050CD5" w:rsidRPr="00F84C14">
        <w:rPr>
          <w:rFonts w:ascii="Times New Roman" w:eastAsia="Calibri" w:hAnsi="Times New Roman" w:cs="Times New Roman"/>
          <w:i/>
          <w:sz w:val="24"/>
          <w:szCs w:val="24"/>
          <w:lang w:eastAsia="hu-HU"/>
        </w:rPr>
        <w:t xml:space="preserve">349/2021. Korm. rendelet </w:t>
      </w:r>
      <w:r w:rsidRPr="00F84C14">
        <w:rPr>
          <w:rFonts w:ascii="Times New Roman" w:eastAsia="Calibri" w:hAnsi="Times New Roman" w:cs="Times New Roman"/>
          <w:i/>
          <w:sz w:val="24"/>
          <w:szCs w:val="24"/>
          <w:lang w:eastAsia="hu-HU"/>
        </w:rPr>
        <w:t>20. §</w:t>
      </w:r>
      <w:r w:rsidR="00050CD5" w:rsidRPr="00F84C14">
        <w:rPr>
          <w:rFonts w:ascii="Times New Roman" w:eastAsia="Calibri" w:hAnsi="Times New Roman" w:cs="Times New Roman"/>
          <w:i/>
          <w:sz w:val="24"/>
          <w:szCs w:val="24"/>
          <w:lang w:eastAsia="hu-HU"/>
        </w:rPr>
        <w:t>-a</w:t>
      </w:r>
      <w:r w:rsidRPr="00A918B9">
        <w:rPr>
          <w:rFonts w:ascii="Times New Roman" w:eastAsia="Calibri" w:hAnsi="Times New Roman" w:cs="Times New Roman"/>
          <w:sz w:val="24"/>
          <w:szCs w:val="24"/>
          <w:lang w:eastAsia="hu-HU"/>
        </w:rPr>
        <w:t xml:space="preserve"> értelmében a 2022. január 1-jén a 349/2021. Korm. rendelet 1. mellékletében meghatározott termék forgalomba hozatalát megvalósító </w:t>
      </w:r>
      <w:r w:rsidRPr="00F84C14">
        <w:rPr>
          <w:rFonts w:ascii="Times New Roman" w:eastAsia="Calibri" w:hAnsi="Times New Roman" w:cs="Times New Roman"/>
          <w:b/>
          <w:sz w:val="24"/>
          <w:szCs w:val="24"/>
          <w:lang w:eastAsia="hu-HU"/>
        </w:rPr>
        <w:t xml:space="preserve">gyártónak 2022. január 15-éig kérelmeznie kell a hulladékgazdálkodási hatóságnál nyilvántartásba vételét </w:t>
      </w:r>
      <w:r w:rsidRPr="00050CD5">
        <w:rPr>
          <w:rFonts w:ascii="Times New Roman" w:eastAsia="Calibri" w:hAnsi="Times New Roman" w:cs="Times New Roman"/>
          <w:sz w:val="24"/>
          <w:szCs w:val="24"/>
          <w:lang w:eastAsia="hu-HU"/>
        </w:rPr>
        <w:t>a 14. §-ban foglaltak szerint.</w:t>
      </w:r>
      <w:r w:rsidRPr="00F84C14">
        <w:rPr>
          <w:rFonts w:ascii="Times New Roman" w:eastAsia="Calibri" w:hAnsi="Times New Roman" w:cs="Times New Roman"/>
          <w:b/>
          <w:sz w:val="24"/>
          <w:szCs w:val="24"/>
          <w:lang w:eastAsia="hu-HU"/>
        </w:rPr>
        <w:t xml:space="preserve"> </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A918B9">
        <w:rPr>
          <w:rFonts w:ascii="Times New Roman" w:eastAsia="Calibri" w:hAnsi="Times New Roman" w:cs="Times New Roman"/>
          <w:sz w:val="24"/>
          <w:szCs w:val="24"/>
          <w:lang w:eastAsia="hu-HU"/>
        </w:rPr>
        <w:t xml:space="preserve">Az első, 2022-ről esedékes </w:t>
      </w:r>
      <w:r w:rsidRPr="00F84C14">
        <w:rPr>
          <w:rFonts w:ascii="Times New Roman" w:eastAsia="Calibri" w:hAnsi="Times New Roman" w:cs="Times New Roman"/>
          <w:b/>
          <w:sz w:val="24"/>
          <w:szCs w:val="24"/>
          <w:lang w:eastAsia="hu-HU"/>
        </w:rPr>
        <w:t>éves gyártói és hulladékgyűjtői adatszolgáltatás benyújtásának határideje 2023. március 1.</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color w:val="000000"/>
          <w:sz w:val="24"/>
          <w:szCs w:val="24"/>
          <w:shd w:val="clear" w:color="auto" w:fill="FFFFFF"/>
        </w:rPr>
      </w:pPr>
      <w:r w:rsidRPr="00A918B9">
        <w:rPr>
          <w:rFonts w:ascii="Times New Roman" w:eastAsia="Calibri" w:hAnsi="Times New Roman" w:cs="Times New Roman"/>
          <w:sz w:val="24"/>
          <w:szCs w:val="24"/>
          <w:lang w:eastAsia="hu-HU"/>
        </w:rPr>
        <w:t xml:space="preserve">A SUP irányelv értelmezését az Európai Bizottság által honlapjukon 2021. május 31-én közzétett, magyar nyelven is elérhető, az egyes műanyagtermékek környezetre gyakorolt hatásának csökkentéséről szóló (EU) 2019/904 európai parlamenti és tanácsi irányelvnek megfelelően az egyszer használatos műanyagtermékekre vonatkozóan előírt bizottsági iránymutatásokról szóló közlemény (a továbbiakban: </w:t>
      </w:r>
      <w:r w:rsidRPr="00F84C14">
        <w:rPr>
          <w:rFonts w:ascii="Times New Roman" w:eastAsia="Calibri" w:hAnsi="Times New Roman" w:cs="Times New Roman"/>
          <w:b/>
          <w:sz w:val="24"/>
          <w:szCs w:val="24"/>
          <w:lang w:eastAsia="hu-HU"/>
        </w:rPr>
        <w:t>bizottsági útmutató</w:t>
      </w:r>
      <w:r w:rsidRPr="00A918B9">
        <w:rPr>
          <w:rFonts w:ascii="Times New Roman" w:eastAsia="Calibri" w:hAnsi="Times New Roman" w:cs="Times New Roman"/>
          <w:sz w:val="24"/>
          <w:szCs w:val="24"/>
          <w:lang w:eastAsia="hu-HU"/>
        </w:rPr>
        <w:t xml:space="preserve">) segíti. A bizottsági útmutató célja olyan </w:t>
      </w:r>
      <w:r w:rsidRPr="00F84C14">
        <w:rPr>
          <w:rFonts w:ascii="Times New Roman" w:eastAsia="Calibri" w:hAnsi="Times New Roman" w:cs="Times New Roman"/>
          <w:b/>
          <w:sz w:val="24"/>
          <w:szCs w:val="24"/>
          <w:lang w:eastAsia="hu-HU"/>
        </w:rPr>
        <w:t>iránymutatások közzététele</w:t>
      </w:r>
      <w:r w:rsidRPr="00A918B9">
        <w:rPr>
          <w:rFonts w:ascii="Times New Roman" w:eastAsia="Calibri" w:hAnsi="Times New Roman" w:cs="Times New Roman"/>
          <w:sz w:val="24"/>
          <w:szCs w:val="24"/>
          <w:lang w:eastAsia="hu-HU"/>
        </w:rPr>
        <w:t xml:space="preserve"> (adott esetben példákkal), amelyek segítenek annak eldöntésében, hogy </w:t>
      </w:r>
      <w:r w:rsidRPr="00F84C14">
        <w:rPr>
          <w:rFonts w:ascii="Times New Roman" w:eastAsia="Calibri" w:hAnsi="Times New Roman" w:cs="Times New Roman"/>
          <w:b/>
          <w:sz w:val="24"/>
          <w:szCs w:val="24"/>
          <w:lang w:eastAsia="hu-HU"/>
        </w:rPr>
        <w:t>milyen termékek minősülnek egyszer vagy többször használatos műanyagterméknek a SUP irányelv alkalmazásában.</w:t>
      </w:r>
      <w:r w:rsidRPr="00A918B9">
        <w:rPr>
          <w:rFonts w:ascii="Times New Roman" w:eastAsia="Calibri" w:hAnsi="Times New Roman" w:cs="Times New Roman"/>
          <w:sz w:val="24"/>
          <w:szCs w:val="24"/>
          <w:lang w:eastAsia="hu-HU"/>
        </w:rPr>
        <w:t xml:space="preserve"> Tekintettel arra, hogy a hazai jogszabályok a SUP irányelv hazai implementációját hivatottak véghezvinni, így azok </w:t>
      </w:r>
      <w:r w:rsidRPr="00F84C14">
        <w:rPr>
          <w:rFonts w:ascii="Times New Roman" w:eastAsia="Calibri" w:hAnsi="Times New Roman" w:cs="Times New Roman"/>
          <w:b/>
          <w:sz w:val="24"/>
          <w:szCs w:val="24"/>
          <w:lang w:eastAsia="hu-HU"/>
        </w:rPr>
        <w:t>az útmutatóval együtt értelmezendőek.</w:t>
      </w:r>
    </w:p>
    <w:p w:rsidR="00ED638E" w:rsidRPr="00A918B9" w:rsidRDefault="00ED638E" w:rsidP="00ED638E">
      <w:pPr>
        <w:spacing w:after="0" w:line="240" w:lineRule="auto"/>
        <w:jc w:val="both"/>
        <w:rPr>
          <w:rFonts w:ascii="Times New Roman" w:eastAsia="Calibri" w:hAnsi="Times New Roman" w:cs="Times New Roman"/>
          <w:color w:val="000000"/>
          <w:sz w:val="24"/>
          <w:szCs w:val="24"/>
          <w:shd w:val="clear" w:color="auto" w:fill="FFFFFF"/>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A918B9">
        <w:rPr>
          <w:rFonts w:ascii="Times New Roman" w:eastAsia="Calibri" w:hAnsi="Times New Roman" w:cs="Times New Roman"/>
          <w:sz w:val="24"/>
          <w:szCs w:val="24"/>
          <w:lang w:eastAsia="hu-HU"/>
        </w:rPr>
        <w:t>A 301/202</w:t>
      </w:r>
      <w:r w:rsidR="00050CD5">
        <w:rPr>
          <w:rFonts w:ascii="Times New Roman" w:eastAsia="Calibri" w:hAnsi="Times New Roman" w:cs="Times New Roman"/>
          <w:sz w:val="24"/>
          <w:szCs w:val="24"/>
          <w:lang w:eastAsia="hu-HU"/>
        </w:rPr>
        <w:t xml:space="preserve">1. </w:t>
      </w:r>
      <w:r w:rsidRPr="00A918B9">
        <w:rPr>
          <w:rFonts w:ascii="Times New Roman" w:eastAsia="Calibri" w:hAnsi="Times New Roman" w:cs="Times New Roman"/>
          <w:sz w:val="24"/>
          <w:szCs w:val="24"/>
          <w:lang w:eastAsia="hu-HU"/>
        </w:rPr>
        <w:t xml:space="preserve">Korm. rendeletben és a 349/2021. Korm. rendeletben foglalt előírások megsértésének szankcionálása tekintetében </w:t>
      </w:r>
      <w:r w:rsidRPr="00F84C14">
        <w:rPr>
          <w:rFonts w:ascii="Times New Roman" w:eastAsia="Calibri" w:hAnsi="Times New Roman" w:cs="Times New Roman"/>
          <w:b/>
          <w:sz w:val="24"/>
          <w:szCs w:val="24"/>
          <w:lang w:eastAsia="hu-HU"/>
        </w:rPr>
        <w:t>e kormányrendeletek a hulladékképződés megelőzésével kapcsolatos jogszabálynak minősülnek.</w:t>
      </w:r>
      <w:r w:rsidRPr="00A918B9">
        <w:rPr>
          <w:rFonts w:ascii="Times New Roman" w:eastAsia="Calibri" w:hAnsi="Times New Roman" w:cs="Times New Roman"/>
          <w:sz w:val="24"/>
          <w:szCs w:val="24"/>
          <w:lang w:eastAsia="hu-HU"/>
        </w:rPr>
        <w:t xml:space="preserve"> A </w:t>
      </w:r>
      <w:r w:rsidRPr="00F84C14">
        <w:rPr>
          <w:rFonts w:ascii="Times New Roman" w:eastAsia="Calibri" w:hAnsi="Times New Roman" w:cs="Times New Roman"/>
          <w:i/>
          <w:sz w:val="24"/>
          <w:szCs w:val="24"/>
          <w:lang w:eastAsia="hu-HU"/>
        </w:rPr>
        <w:t>hulladékokról szóló 2012. évi CLXXXV. törvény</w:t>
      </w:r>
      <w:r w:rsidRPr="00A918B9">
        <w:rPr>
          <w:rFonts w:ascii="Times New Roman" w:eastAsia="Calibri" w:hAnsi="Times New Roman" w:cs="Times New Roman"/>
          <w:sz w:val="24"/>
          <w:szCs w:val="24"/>
          <w:lang w:eastAsia="hu-HU"/>
        </w:rPr>
        <w:t xml:space="preserve"> (a továbbiakban: Ht.) </w:t>
      </w:r>
      <w:r w:rsidRPr="00F84C14">
        <w:rPr>
          <w:rFonts w:ascii="Times New Roman" w:eastAsia="Calibri" w:hAnsi="Times New Roman" w:cs="Times New Roman"/>
          <w:i/>
          <w:sz w:val="24"/>
          <w:szCs w:val="24"/>
          <w:lang w:eastAsia="hu-HU"/>
        </w:rPr>
        <w:t>86. § (1) bekezdés d) pontja</w:t>
      </w:r>
      <w:r w:rsidRPr="00A918B9">
        <w:rPr>
          <w:rFonts w:ascii="Times New Roman" w:eastAsia="Calibri" w:hAnsi="Times New Roman" w:cs="Times New Roman"/>
          <w:sz w:val="24"/>
          <w:szCs w:val="24"/>
          <w:lang w:eastAsia="hu-HU"/>
        </w:rPr>
        <w:t xml:space="preserve"> szerint azt a természetes vagy jogi személyt, egyéni vállalkozót, továbbá jogi személyiséggel nem rendelkező szervezetet, aki vagy amely a terméket a hulladékképződés megelőzésével kapcsolatos jogszabály, közvetlenül alkalmazandó uniós jogi aktus vagy hatósági határozat előírásait megsértve forgalmaz, a hulladékgazdálkodási hatóság a hulladékgazdálkodási bírság mértékéről, valamint kiszabásának és megállapításának módjáról szóló kormányrendelet szerint </w:t>
      </w:r>
      <w:r w:rsidRPr="00F84C14">
        <w:rPr>
          <w:rFonts w:ascii="Times New Roman" w:eastAsia="Calibri" w:hAnsi="Times New Roman" w:cs="Times New Roman"/>
          <w:b/>
          <w:sz w:val="24"/>
          <w:szCs w:val="24"/>
          <w:lang w:eastAsia="hu-HU"/>
        </w:rPr>
        <w:t>hulladékgazdálkodási bírság megfizetésére kötelezi.</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ED638E">
      <w:pPr>
        <w:spacing w:after="0" w:line="240" w:lineRule="auto"/>
        <w:jc w:val="both"/>
        <w:rPr>
          <w:rFonts w:ascii="Times New Roman" w:eastAsia="Calibri" w:hAnsi="Times New Roman" w:cs="Times New Roman"/>
          <w:b/>
          <w:sz w:val="24"/>
          <w:szCs w:val="24"/>
          <w:lang w:eastAsia="hu-HU"/>
        </w:rPr>
      </w:pPr>
      <w:r w:rsidRPr="00F84C14">
        <w:rPr>
          <w:rFonts w:ascii="Times New Roman" w:eastAsia="Calibri" w:hAnsi="Times New Roman" w:cs="Times New Roman"/>
          <w:i/>
          <w:sz w:val="24"/>
          <w:szCs w:val="24"/>
          <w:lang w:eastAsia="hu-HU"/>
        </w:rPr>
        <w:t>A hulladékgazdálkodási hatóság kijelöléséről szóló 124/2021. (III. 12.) Korm. rendelet 3. § (1) bekezdés h) pontja</w:t>
      </w:r>
      <w:r w:rsidRPr="00A918B9">
        <w:rPr>
          <w:rFonts w:ascii="Times New Roman" w:eastAsia="Calibri" w:hAnsi="Times New Roman" w:cs="Times New Roman"/>
          <w:sz w:val="24"/>
          <w:szCs w:val="24"/>
          <w:lang w:eastAsia="hu-HU"/>
        </w:rPr>
        <w:t xml:space="preserve"> szerint a </w:t>
      </w:r>
      <w:r w:rsidRPr="00F84C14">
        <w:rPr>
          <w:rFonts w:ascii="Times New Roman" w:eastAsia="Calibri" w:hAnsi="Times New Roman" w:cs="Times New Roman"/>
          <w:i/>
          <w:sz w:val="24"/>
          <w:szCs w:val="24"/>
          <w:lang w:eastAsia="hu-HU"/>
        </w:rPr>
        <w:t>Ht. 86. § (1) bekezdésében</w:t>
      </w:r>
      <w:r w:rsidRPr="00A918B9">
        <w:rPr>
          <w:rFonts w:ascii="Times New Roman" w:eastAsia="Calibri" w:hAnsi="Times New Roman" w:cs="Times New Roman"/>
          <w:sz w:val="24"/>
          <w:szCs w:val="24"/>
          <w:lang w:eastAsia="hu-HU"/>
        </w:rPr>
        <w:t xml:space="preserve"> foglalt hulladékgazdálkodási hatóságként, ha a bírság jogalapja a </w:t>
      </w:r>
      <w:r w:rsidRPr="00F84C14">
        <w:rPr>
          <w:rFonts w:ascii="Times New Roman" w:eastAsia="Calibri" w:hAnsi="Times New Roman" w:cs="Times New Roman"/>
          <w:i/>
          <w:sz w:val="24"/>
          <w:szCs w:val="24"/>
          <w:lang w:eastAsia="hu-HU"/>
        </w:rPr>
        <w:t>d) pontban</w:t>
      </w:r>
      <w:r w:rsidRPr="00A918B9">
        <w:rPr>
          <w:rFonts w:ascii="Times New Roman" w:eastAsia="Calibri" w:hAnsi="Times New Roman" w:cs="Times New Roman"/>
          <w:sz w:val="24"/>
          <w:szCs w:val="24"/>
          <w:lang w:eastAsia="hu-HU"/>
        </w:rPr>
        <w:t xml:space="preserve"> meghatározott hatáskörhöz tartozó jogsértés, </w:t>
      </w:r>
      <w:r w:rsidRPr="00F84C14">
        <w:rPr>
          <w:rFonts w:ascii="Times New Roman" w:eastAsia="Calibri" w:hAnsi="Times New Roman" w:cs="Times New Roman"/>
          <w:b/>
          <w:sz w:val="24"/>
          <w:szCs w:val="24"/>
          <w:lang w:eastAsia="hu-HU"/>
        </w:rPr>
        <w:t>az országos hulladékgazdálkodási hatóság jár el.</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A918B9" w:rsidRDefault="00ED638E" w:rsidP="00ED638E">
      <w:pPr>
        <w:spacing w:after="0" w:line="240" w:lineRule="auto"/>
        <w:jc w:val="both"/>
        <w:rPr>
          <w:rFonts w:ascii="Times New Roman" w:eastAsia="Calibri" w:hAnsi="Times New Roman" w:cs="Times New Roman"/>
          <w:sz w:val="24"/>
          <w:szCs w:val="24"/>
        </w:rPr>
      </w:pPr>
      <w:r w:rsidRPr="00A918B9">
        <w:rPr>
          <w:rFonts w:ascii="Times New Roman" w:eastAsia="Calibri" w:hAnsi="Times New Roman" w:cs="Times New Roman"/>
          <w:sz w:val="24"/>
          <w:szCs w:val="24"/>
          <w:lang w:eastAsia="hu-HU"/>
        </w:rPr>
        <w:t xml:space="preserve">A </w:t>
      </w:r>
      <w:r w:rsidRPr="00A918B9">
        <w:rPr>
          <w:rFonts w:ascii="Times New Roman" w:eastAsia="Calibri" w:hAnsi="Times New Roman" w:cs="Times New Roman"/>
          <w:b/>
          <w:bCs/>
          <w:sz w:val="24"/>
          <w:szCs w:val="24"/>
          <w:lang w:eastAsia="hu-HU"/>
        </w:rPr>
        <w:t>SUP irányelv</w:t>
      </w:r>
      <w:r w:rsidRPr="00A918B9">
        <w:rPr>
          <w:rFonts w:ascii="Times New Roman" w:eastAsia="Calibri" w:hAnsi="Times New Roman" w:cs="Times New Roman"/>
          <w:sz w:val="24"/>
          <w:szCs w:val="24"/>
          <w:lang w:eastAsia="hu-HU"/>
        </w:rPr>
        <w:t xml:space="preserve"> elérhetősége: </w:t>
      </w:r>
      <w:hyperlink r:id="rId8" w:history="1">
        <w:r w:rsidRPr="00A918B9">
          <w:rPr>
            <w:rFonts w:ascii="Times New Roman" w:eastAsia="Calibri" w:hAnsi="Times New Roman" w:cs="Times New Roman"/>
            <w:color w:val="0563C1"/>
            <w:sz w:val="24"/>
            <w:szCs w:val="24"/>
            <w:u w:val="single"/>
            <w:lang w:eastAsia="hu-HU"/>
          </w:rPr>
          <w:t>https://eur-lex.europa.eu/legal-content/HU/TXT/?uri=CELEX%3A32019L0904</w:t>
        </w:r>
      </w:hyperlink>
    </w:p>
    <w:p w:rsidR="00ED638E" w:rsidRPr="00A918B9" w:rsidRDefault="00ED638E" w:rsidP="00ED638E">
      <w:pPr>
        <w:spacing w:after="0" w:line="240" w:lineRule="auto"/>
        <w:jc w:val="both"/>
        <w:rPr>
          <w:rFonts w:ascii="Times New Roman" w:eastAsia="Calibri" w:hAnsi="Times New Roman" w:cs="Times New Roman"/>
          <w:sz w:val="24"/>
          <w:szCs w:val="24"/>
        </w:rPr>
      </w:pPr>
    </w:p>
    <w:p w:rsidR="00ED638E" w:rsidRPr="00A918B9" w:rsidRDefault="00ED638E" w:rsidP="00ED638E">
      <w:pPr>
        <w:spacing w:after="0" w:line="240" w:lineRule="auto"/>
        <w:jc w:val="both"/>
        <w:rPr>
          <w:rFonts w:ascii="Times New Roman" w:eastAsia="Calibri" w:hAnsi="Times New Roman" w:cs="Times New Roman"/>
          <w:sz w:val="24"/>
          <w:szCs w:val="24"/>
        </w:rPr>
      </w:pPr>
      <w:r w:rsidRPr="00A918B9">
        <w:rPr>
          <w:rFonts w:ascii="Times New Roman" w:eastAsia="Calibri" w:hAnsi="Times New Roman" w:cs="Times New Roman"/>
          <w:sz w:val="24"/>
          <w:szCs w:val="24"/>
          <w:lang w:eastAsia="hu-HU"/>
        </w:rPr>
        <w:t>A SUP irányelv átültetését megvalósító kormányrendeletek</w:t>
      </w:r>
      <w:r w:rsidRPr="00A918B9">
        <w:rPr>
          <w:rFonts w:ascii="Times New Roman" w:eastAsia="Calibri" w:hAnsi="Times New Roman" w:cs="Times New Roman"/>
          <w:b/>
          <w:bCs/>
          <w:sz w:val="24"/>
          <w:szCs w:val="24"/>
          <w:lang w:eastAsia="hu-HU"/>
        </w:rPr>
        <w:t xml:space="preserve"> az egyes egyszer használatos, valamint egyes egyéb műanyagtermékek forgalomba hozatalának korlátozásáról szóló 301/2021 (VI. 1.) Korm. rendelet</w:t>
      </w:r>
      <w:r w:rsidRPr="00A918B9">
        <w:rPr>
          <w:rFonts w:ascii="Times New Roman" w:eastAsia="Calibri" w:hAnsi="Times New Roman" w:cs="Times New Roman"/>
          <w:sz w:val="24"/>
          <w:szCs w:val="24"/>
          <w:lang w:eastAsia="hu-HU"/>
        </w:rPr>
        <w:t xml:space="preserve">, valamint </w:t>
      </w:r>
      <w:r w:rsidRPr="00A918B9">
        <w:rPr>
          <w:rFonts w:ascii="Times New Roman" w:eastAsia="Calibri" w:hAnsi="Times New Roman" w:cs="Times New Roman"/>
          <w:b/>
          <w:bCs/>
          <w:sz w:val="24"/>
          <w:szCs w:val="24"/>
          <w:lang w:eastAsia="hu-HU"/>
        </w:rPr>
        <w:t>az egyes műanyagtermékek környezetre gyakorolt hatásának csökkentéséről szóló 349/2021. (VI. 22.) Korm. rendelet.</w:t>
      </w:r>
      <w:r w:rsidRPr="00A918B9">
        <w:rPr>
          <w:rFonts w:ascii="Times New Roman" w:eastAsia="Calibri" w:hAnsi="Times New Roman" w:cs="Times New Roman"/>
          <w:sz w:val="24"/>
          <w:szCs w:val="24"/>
          <w:lang w:eastAsia="hu-HU"/>
        </w:rPr>
        <w:t xml:space="preserve">  </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A918B9" w:rsidRDefault="00ED638E" w:rsidP="00ED638E">
      <w:pPr>
        <w:spacing w:after="0" w:line="240" w:lineRule="auto"/>
        <w:jc w:val="both"/>
        <w:rPr>
          <w:rFonts w:ascii="Times New Roman" w:eastAsia="Calibri" w:hAnsi="Times New Roman" w:cs="Times New Roman"/>
          <w:sz w:val="24"/>
          <w:szCs w:val="24"/>
        </w:rPr>
      </w:pPr>
      <w:r w:rsidRPr="00A918B9">
        <w:rPr>
          <w:rFonts w:ascii="Times New Roman" w:eastAsia="Calibri" w:hAnsi="Times New Roman" w:cs="Times New Roman"/>
          <w:sz w:val="24"/>
          <w:szCs w:val="24"/>
          <w:lang w:eastAsia="hu-HU"/>
        </w:rPr>
        <w:t xml:space="preserve">A </w:t>
      </w:r>
      <w:r w:rsidRPr="00A918B9">
        <w:rPr>
          <w:rFonts w:ascii="Times New Roman" w:eastAsia="Calibri" w:hAnsi="Times New Roman" w:cs="Times New Roman"/>
          <w:b/>
          <w:bCs/>
          <w:sz w:val="24"/>
          <w:szCs w:val="24"/>
          <w:lang w:eastAsia="hu-HU"/>
        </w:rPr>
        <w:t>bizottsági útmutató</w:t>
      </w:r>
      <w:r w:rsidRPr="00A918B9">
        <w:rPr>
          <w:rFonts w:ascii="Times New Roman" w:eastAsia="Calibri" w:hAnsi="Times New Roman" w:cs="Times New Roman"/>
          <w:sz w:val="24"/>
          <w:szCs w:val="24"/>
          <w:lang w:eastAsia="hu-HU"/>
        </w:rPr>
        <w:t xml:space="preserve"> innen érhető el: </w:t>
      </w:r>
      <w:hyperlink r:id="rId9" w:history="1">
        <w:r w:rsidRPr="00A918B9">
          <w:rPr>
            <w:rFonts w:ascii="Times New Roman" w:eastAsia="Calibri" w:hAnsi="Times New Roman" w:cs="Times New Roman"/>
            <w:color w:val="0563C1"/>
            <w:sz w:val="24"/>
            <w:szCs w:val="24"/>
            <w:u w:val="single"/>
            <w:lang w:eastAsia="hu-HU"/>
          </w:rPr>
          <w:t>https://eur-lex.europa.eu/legal-content/HU/TXT/PDF/?uri=CELEX:52021XC0607(03)&amp;from=HU</w:t>
        </w:r>
      </w:hyperlink>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r w:rsidRPr="00A918B9">
        <w:rPr>
          <w:rFonts w:ascii="Times New Roman" w:eastAsia="Calibri" w:hAnsi="Times New Roman" w:cs="Times New Roman"/>
          <w:sz w:val="24"/>
          <w:szCs w:val="24"/>
          <w:lang w:eastAsia="hu-HU"/>
        </w:rPr>
        <w:t>További segédletek a SUP irányelv értelmezéséhez kapcsolódóan:</w:t>
      </w:r>
    </w:p>
    <w:p w:rsidR="00ED638E" w:rsidRPr="00A918B9" w:rsidRDefault="00ED638E" w:rsidP="00ED638E">
      <w:pPr>
        <w:spacing w:after="0" w:line="240" w:lineRule="auto"/>
        <w:jc w:val="both"/>
        <w:rPr>
          <w:rFonts w:ascii="Times New Roman" w:eastAsia="Calibri" w:hAnsi="Times New Roman" w:cs="Times New Roman"/>
          <w:sz w:val="24"/>
          <w:szCs w:val="24"/>
          <w:lang w:eastAsia="hu-HU"/>
        </w:rPr>
      </w:pPr>
    </w:p>
    <w:p w:rsidR="00ED638E" w:rsidRPr="00F84C14" w:rsidRDefault="00ED638E" w:rsidP="00050CD5">
      <w:pPr>
        <w:pStyle w:val="Listaszerbekezds"/>
        <w:numPr>
          <w:ilvl w:val="2"/>
          <w:numId w:val="30"/>
        </w:numPr>
        <w:spacing w:after="0" w:line="240" w:lineRule="auto"/>
        <w:ind w:left="567" w:hanging="283"/>
        <w:jc w:val="both"/>
        <w:rPr>
          <w:rFonts w:ascii="Times New Roman" w:eastAsia="Calibri" w:hAnsi="Times New Roman" w:cs="Times New Roman"/>
          <w:sz w:val="24"/>
          <w:szCs w:val="24"/>
        </w:rPr>
      </w:pPr>
      <w:r w:rsidRPr="00F84C14">
        <w:rPr>
          <w:rFonts w:ascii="Times New Roman" w:eastAsia="Calibri" w:hAnsi="Times New Roman" w:cs="Times New Roman"/>
          <w:sz w:val="24"/>
          <w:szCs w:val="24"/>
          <w:lang w:eastAsia="hu-HU"/>
        </w:rPr>
        <w:t xml:space="preserve">A hulladékokról szóló 2008/98/EK irányelvnek a tudományos és műszaki fejlődéshez történő hozzáigazításával és végrehajtásával foglalkozó </w:t>
      </w:r>
      <w:r w:rsidRPr="00F84C14">
        <w:rPr>
          <w:rFonts w:ascii="Times New Roman" w:eastAsia="Calibri" w:hAnsi="Times New Roman" w:cs="Times New Roman"/>
          <w:b/>
          <w:sz w:val="24"/>
          <w:szCs w:val="24"/>
          <w:lang w:eastAsia="hu-HU"/>
        </w:rPr>
        <w:t>bizottság üléseinek publikus dokumentumai,</w:t>
      </w:r>
      <w:r w:rsidR="00050CD5" w:rsidRPr="00F84C14">
        <w:rPr>
          <w:rFonts w:ascii="Times New Roman" w:eastAsia="Calibri" w:hAnsi="Times New Roman" w:cs="Times New Roman"/>
          <w:b/>
          <w:sz w:val="24"/>
          <w:szCs w:val="24"/>
          <w:lang w:eastAsia="hu-HU"/>
        </w:rPr>
        <w:t xml:space="preserve"> </w:t>
      </w:r>
      <w:r w:rsidRPr="00F84C14">
        <w:rPr>
          <w:rFonts w:ascii="Times New Roman" w:eastAsia="Calibri" w:hAnsi="Times New Roman" w:cs="Times New Roman"/>
          <w:b/>
          <w:sz w:val="24"/>
          <w:szCs w:val="24"/>
          <w:lang w:eastAsia="hu-HU"/>
        </w:rPr>
        <w:t>jegyzőkönyvei:</w:t>
      </w:r>
      <w:r w:rsidR="00050CD5">
        <w:rPr>
          <w:rFonts w:ascii="Times New Roman" w:eastAsia="Calibri" w:hAnsi="Times New Roman" w:cs="Times New Roman"/>
          <w:sz w:val="24"/>
          <w:szCs w:val="24"/>
          <w:lang w:eastAsia="hu-HU"/>
        </w:rPr>
        <w:t xml:space="preserve"> </w:t>
      </w:r>
      <w:hyperlink r:id="rId10" w:history="1">
        <w:r w:rsidRPr="00F84C14">
          <w:rPr>
            <w:rFonts w:ascii="Times New Roman" w:eastAsia="Calibri" w:hAnsi="Times New Roman" w:cs="Times New Roman"/>
            <w:color w:val="0563C1"/>
            <w:sz w:val="24"/>
            <w:szCs w:val="24"/>
            <w:u w:val="single"/>
            <w:lang w:eastAsia="hu-HU"/>
          </w:rPr>
          <w:t>https://ec.europa.eu/transparency/comitology-register/screen/committees/C37000/consult?lang=hu</w:t>
        </w:r>
      </w:hyperlink>
    </w:p>
    <w:p w:rsidR="00ED638E" w:rsidRPr="00A918B9" w:rsidRDefault="00ED638E" w:rsidP="00050CD5">
      <w:pPr>
        <w:spacing w:after="0" w:line="240" w:lineRule="auto"/>
        <w:ind w:left="567" w:hanging="283"/>
        <w:jc w:val="both"/>
        <w:rPr>
          <w:rFonts w:ascii="Times New Roman" w:hAnsi="Times New Roman" w:cs="Times New Roman"/>
          <w:sz w:val="24"/>
          <w:szCs w:val="24"/>
          <w:lang w:eastAsia="hu-HU"/>
        </w:rPr>
      </w:pPr>
    </w:p>
    <w:p w:rsidR="00ED638E" w:rsidRPr="00F84C14" w:rsidRDefault="00ED638E" w:rsidP="00050CD5">
      <w:pPr>
        <w:pStyle w:val="Listaszerbekezds"/>
        <w:numPr>
          <w:ilvl w:val="2"/>
          <w:numId w:val="30"/>
        </w:numPr>
        <w:spacing w:after="0" w:line="252" w:lineRule="auto"/>
        <w:ind w:left="567" w:hanging="283"/>
        <w:jc w:val="both"/>
        <w:rPr>
          <w:rFonts w:ascii="Times New Roman" w:hAnsi="Times New Roman" w:cs="Times New Roman"/>
          <w:sz w:val="24"/>
          <w:szCs w:val="24"/>
        </w:rPr>
      </w:pPr>
      <w:r w:rsidRPr="00F84C14">
        <w:rPr>
          <w:rFonts w:ascii="Times New Roman" w:hAnsi="Times New Roman" w:cs="Times New Roman"/>
          <w:sz w:val="24"/>
          <w:szCs w:val="24"/>
        </w:rPr>
        <w:t xml:space="preserve">Az utolsó 2 elérhető </w:t>
      </w:r>
      <w:r w:rsidRPr="00F84C14">
        <w:rPr>
          <w:rFonts w:ascii="Times New Roman" w:hAnsi="Times New Roman" w:cs="Times New Roman"/>
          <w:b/>
          <w:sz w:val="24"/>
          <w:szCs w:val="24"/>
        </w:rPr>
        <w:t>jegyzőkönyv</w:t>
      </w:r>
      <w:r w:rsidRPr="00F84C14">
        <w:rPr>
          <w:rFonts w:ascii="Times New Roman" w:hAnsi="Times New Roman" w:cs="Times New Roman"/>
          <w:sz w:val="24"/>
          <w:szCs w:val="24"/>
        </w:rPr>
        <w:t xml:space="preserve"> a SUP irányelvvel kapcsolatos ülések kapcsán:</w:t>
      </w:r>
    </w:p>
    <w:p w:rsidR="00ED638E" w:rsidRPr="00A918B9" w:rsidRDefault="00ED638E" w:rsidP="00F84C14">
      <w:pPr>
        <w:pStyle w:val="Listaszerbekezds"/>
        <w:numPr>
          <w:ilvl w:val="1"/>
          <w:numId w:val="28"/>
        </w:numPr>
        <w:spacing w:after="0" w:line="240" w:lineRule="auto"/>
        <w:rPr>
          <w:rFonts w:ascii="Times New Roman" w:hAnsi="Times New Roman" w:cs="Times New Roman"/>
          <w:sz w:val="24"/>
          <w:szCs w:val="24"/>
        </w:rPr>
      </w:pPr>
      <w:r w:rsidRPr="00A918B9">
        <w:rPr>
          <w:rFonts w:ascii="Times New Roman" w:hAnsi="Times New Roman" w:cs="Times New Roman"/>
          <w:sz w:val="24"/>
          <w:szCs w:val="24"/>
        </w:rPr>
        <w:t xml:space="preserve">2021. március 21-ei ülés jegyzőkönyve: </w:t>
      </w:r>
      <w:hyperlink r:id="rId11" w:history="1">
        <w:r w:rsidRPr="00A918B9">
          <w:rPr>
            <w:rFonts w:ascii="Times New Roman" w:hAnsi="Times New Roman" w:cs="Times New Roman"/>
            <w:color w:val="0563C1"/>
            <w:sz w:val="24"/>
            <w:szCs w:val="24"/>
            <w:u w:val="single"/>
          </w:rPr>
          <w:t>https://ec.europa.eu/transparency/comitology-register/screen/meetings/CMTD%282021%29420/consult?lang=hu</w:t>
        </w:r>
      </w:hyperlink>
    </w:p>
    <w:p w:rsidR="00ED638E" w:rsidRPr="00A918B9" w:rsidRDefault="00ED638E" w:rsidP="00F84C14">
      <w:pPr>
        <w:pStyle w:val="Listaszerbekezds"/>
        <w:numPr>
          <w:ilvl w:val="1"/>
          <w:numId w:val="28"/>
        </w:numPr>
        <w:spacing w:after="0" w:line="240" w:lineRule="auto"/>
        <w:rPr>
          <w:rFonts w:ascii="Times New Roman" w:hAnsi="Times New Roman" w:cs="Times New Roman"/>
          <w:sz w:val="24"/>
          <w:szCs w:val="24"/>
        </w:rPr>
      </w:pPr>
      <w:r w:rsidRPr="00A918B9">
        <w:rPr>
          <w:rFonts w:ascii="Times New Roman" w:hAnsi="Times New Roman" w:cs="Times New Roman"/>
          <w:sz w:val="24"/>
          <w:szCs w:val="24"/>
        </w:rPr>
        <w:t xml:space="preserve">2021. június 2-ei ülés jegyzőkönyve és a forgalomba hozatali korlátozással kapcsolatos tagállami kérdések megválaszolása: </w:t>
      </w:r>
      <w:hyperlink r:id="rId12" w:history="1">
        <w:r w:rsidRPr="00A918B9">
          <w:rPr>
            <w:rFonts w:ascii="Times New Roman" w:hAnsi="Times New Roman" w:cs="Times New Roman"/>
            <w:color w:val="0563C1"/>
            <w:sz w:val="24"/>
            <w:szCs w:val="24"/>
            <w:u w:val="single"/>
          </w:rPr>
          <w:t>https://ec.europa.eu/transparency/comitology-register/screen/meetings/CMTD%282021%29858/consult?lang=hu</w:t>
        </w:r>
      </w:hyperlink>
    </w:p>
    <w:p w:rsidR="00ED638E" w:rsidRPr="00A918B9" w:rsidRDefault="00ED638E" w:rsidP="00301310">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sectPr w:rsidR="00ED638E" w:rsidRPr="00A918B9" w:rsidSect="00A918B9">
      <w:footerReference w:type="default" r:id="rId13"/>
      <w:footerReference w:type="first" r:id="rId14"/>
      <w:pgSz w:w="11905" w:h="16837" w:code="9"/>
      <w:pgMar w:top="851" w:right="1417" w:bottom="851" w:left="1417" w:header="993" w:footer="29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E0" w:rsidRDefault="00B254E0">
      <w:pPr>
        <w:spacing w:after="0" w:line="240" w:lineRule="auto"/>
      </w:pPr>
      <w:r>
        <w:separator/>
      </w:r>
    </w:p>
  </w:endnote>
  <w:endnote w:type="continuationSeparator" w:id="0">
    <w:p w:rsidR="00B254E0" w:rsidRDefault="00B2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533573"/>
      <w:docPartObj>
        <w:docPartGallery w:val="Page Numbers (Bottom of Page)"/>
        <w:docPartUnique/>
      </w:docPartObj>
    </w:sdtPr>
    <w:sdtEndPr>
      <w:rPr>
        <w:rFonts w:ascii="Times New Roman" w:hAnsi="Times New Roman" w:cs="Times New Roman"/>
      </w:rPr>
    </w:sdtEndPr>
    <w:sdtContent>
      <w:p w:rsidR="00F46911" w:rsidRPr="00470BE7" w:rsidRDefault="00195796">
        <w:pPr>
          <w:pStyle w:val="llb"/>
          <w:jc w:val="center"/>
          <w:rPr>
            <w:rFonts w:ascii="Times New Roman" w:hAnsi="Times New Roman" w:cs="Times New Roman"/>
          </w:rPr>
        </w:pPr>
        <w:r w:rsidRPr="00470BE7">
          <w:rPr>
            <w:rFonts w:ascii="Times New Roman" w:hAnsi="Times New Roman" w:cs="Times New Roman"/>
          </w:rPr>
          <w:fldChar w:fldCharType="begin"/>
        </w:r>
        <w:r w:rsidRPr="00470BE7">
          <w:rPr>
            <w:rFonts w:ascii="Times New Roman" w:hAnsi="Times New Roman" w:cs="Times New Roman"/>
          </w:rPr>
          <w:instrText>PAGE   \* MERGEFORMAT</w:instrText>
        </w:r>
        <w:r w:rsidRPr="00470BE7">
          <w:rPr>
            <w:rFonts w:ascii="Times New Roman" w:hAnsi="Times New Roman" w:cs="Times New Roman"/>
          </w:rPr>
          <w:fldChar w:fldCharType="separate"/>
        </w:r>
        <w:r w:rsidR="00F84C14">
          <w:rPr>
            <w:rFonts w:ascii="Times New Roman" w:hAnsi="Times New Roman" w:cs="Times New Roman"/>
            <w:noProof/>
          </w:rPr>
          <w:t>2</w:t>
        </w:r>
        <w:r w:rsidRPr="00470BE7">
          <w:rPr>
            <w:rFonts w:ascii="Times New Roman" w:hAnsi="Times New Roman" w:cs="Times New Roman"/>
          </w:rPr>
          <w:fldChar w:fldCharType="end"/>
        </w:r>
      </w:p>
    </w:sdtContent>
  </w:sdt>
  <w:p w:rsidR="003B1FD4" w:rsidRPr="00F46911" w:rsidRDefault="00F84C14" w:rsidP="00F46911">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40627"/>
      <w:docPartObj>
        <w:docPartGallery w:val="Page Numbers (Bottom of Page)"/>
        <w:docPartUnique/>
      </w:docPartObj>
    </w:sdtPr>
    <w:sdtEndPr/>
    <w:sdtContent>
      <w:p w:rsidR="0022676D" w:rsidRDefault="0022676D">
        <w:pPr>
          <w:pStyle w:val="llb"/>
          <w:jc w:val="right"/>
        </w:pPr>
        <w:r>
          <w:fldChar w:fldCharType="begin"/>
        </w:r>
        <w:r>
          <w:instrText>PAGE   \* MERGEFORMAT</w:instrText>
        </w:r>
        <w:r>
          <w:fldChar w:fldCharType="separate"/>
        </w:r>
        <w:r w:rsidR="00F84C14">
          <w:rPr>
            <w:noProof/>
          </w:rPr>
          <w:t>1</w:t>
        </w:r>
        <w:r>
          <w:fldChar w:fldCharType="end"/>
        </w:r>
      </w:p>
    </w:sdtContent>
  </w:sdt>
  <w:p w:rsidR="003E2D7C" w:rsidRDefault="00F84C14" w:rsidP="003E2D7C">
    <w:pPr>
      <w:tabs>
        <w:tab w:val="center" w:pos="4536"/>
        <w:tab w:val="right" w:pos="9072"/>
      </w:tabs>
      <w:spacing w:after="0" w:line="240" w:lineRule="auto"/>
      <w:jc w:val="center"/>
      <w:rPr>
        <w:rFonts w:ascii="Times New Roman" w:eastAsia="Times New Roman" w:hAnsi="Times New Roman" w:cs="Times New Roman"/>
        <w:sz w:val="20"/>
        <w:szCs w:val="20"/>
        <w:lang w:eastAsia="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E0" w:rsidRDefault="00B254E0">
      <w:pPr>
        <w:spacing w:after="0" w:line="240" w:lineRule="auto"/>
      </w:pPr>
      <w:r>
        <w:separator/>
      </w:r>
    </w:p>
  </w:footnote>
  <w:footnote w:type="continuationSeparator" w:id="0">
    <w:p w:rsidR="00B254E0" w:rsidRDefault="00B25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ED0"/>
    <w:multiLevelType w:val="hybridMultilevel"/>
    <w:tmpl w:val="D7AEE948"/>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AD77D3"/>
    <w:multiLevelType w:val="hybridMultilevel"/>
    <w:tmpl w:val="05FA99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AB3FFB"/>
    <w:multiLevelType w:val="hybridMultilevel"/>
    <w:tmpl w:val="AC56043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B">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4C82ECE"/>
    <w:multiLevelType w:val="hybridMultilevel"/>
    <w:tmpl w:val="BD226C7C"/>
    <w:lvl w:ilvl="0" w:tplc="040E0005">
      <w:start w:val="1"/>
      <w:numFmt w:val="bullet"/>
      <w:lvlText w:val=""/>
      <w:lvlJc w:val="left"/>
      <w:pPr>
        <w:ind w:left="1428" w:hanging="360"/>
      </w:pPr>
      <w:rPr>
        <w:rFonts w:ascii="Wingdings" w:hAnsi="Wingdings" w:hint="default"/>
      </w:rPr>
    </w:lvl>
    <w:lvl w:ilvl="1" w:tplc="040E0005">
      <w:start w:val="1"/>
      <w:numFmt w:val="bullet"/>
      <w:lvlText w:val=""/>
      <w:lvlJc w:val="left"/>
      <w:pPr>
        <w:ind w:left="2148" w:hanging="360"/>
      </w:pPr>
      <w:rPr>
        <w:rFonts w:ascii="Wingdings" w:hAnsi="Wingdings"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055E1289"/>
    <w:multiLevelType w:val="multilevel"/>
    <w:tmpl w:val="79C4F5E8"/>
    <w:lvl w:ilvl="0">
      <w:start w:val="1"/>
      <w:numFmt w:val="bullet"/>
      <w:lvlText w:val=""/>
      <w:lvlJc w:val="left"/>
      <w:pPr>
        <w:tabs>
          <w:tab w:val="num" w:pos="3763"/>
        </w:tabs>
        <w:ind w:left="3763" w:hanging="360"/>
      </w:pPr>
      <w:rPr>
        <w:rFonts w:ascii="Symbol" w:hAnsi="Symbol" w:hint="default"/>
        <w:sz w:val="20"/>
      </w:rPr>
    </w:lvl>
    <w:lvl w:ilvl="1">
      <w:start w:val="1"/>
      <w:numFmt w:val="bullet"/>
      <w:lvlText w:val=""/>
      <w:lvlJc w:val="left"/>
      <w:pPr>
        <w:tabs>
          <w:tab w:val="num" w:pos="4483"/>
        </w:tabs>
        <w:ind w:left="4483" w:hanging="360"/>
      </w:pPr>
      <w:rPr>
        <w:rFonts w:ascii="Symbol" w:hAnsi="Symbol" w:hint="default"/>
        <w:sz w:val="20"/>
      </w:rPr>
    </w:lvl>
    <w:lvl w:ilvl="2">
      <w:start w:val="1"/>
      <w:numFmt w:val="bullet"/>
      <w:lvlText w:val=""/>
      <w:lvlJc w:val="left"/>
      <w:pPr>
        <w:tabs>
          <w:tab w:val="num" w:pos="5203"/>
        </w:tabs>
        <w:ind w:left="5203" w:hanging="360"/>
      </w:pPr>
      <w:rPr>
        <w:rFonts w:ascii="Symbol" w:hAnsi="Symbol" w:hint="default"/>
        <w:sz w:val="20"/>
      </w:rPr>
    </w:lvl>
    <w:lvl w:ilvl="3">
      <w:start w:val="1"/>
      <w:numFmt w:val="bullet"/>
      <w:lvlText w:val=""/>
      <w:lvlJc w:val="left"/>
      <w:pPr>
        <w:tabs>
          <w:tab w:val="num" w:pos="5923"/>
        </w:tabs>
        <w:ind w:left="5923" w:hanging="360"/>
      </w:pPr>
      <w:rPr>
        <w:rFonts w:ascii="Symbol" w:hAnsi="Symbol" w:hint="default"/>
        <w:sz w:val="20"/>
      </w:rPr>
    </w:lvl>
    <w:lvl w:ilvl="4">
      <w:start w:val="1"/>
      <w:numFmt w:val="bullet"/>
      <w:lvlText w:val=""/>
      <w:lvlJc w:val="left"/>
      <w:pPr>
        <w:tabs>
          <w:tab w:val="num" w:pos="6643"/>
        </w:tabs>
        <w:ind w:left="6643" w:hanging="360"/>
      </w:pPr>
      <w:rPr>
        <w:rFonts w:ascii="Symbol" w:hAnsi="Symbol" w:hint="default"/>
        <w:sz w:val="20"/>
      </w:rPr>
    </w:lvl>
    <w:lvl w:ilvl="5">
      <w:start w:val="1"/>
      <w:numFmt w:val="bullet"/>
      <w:lvlText w:val=""/>
      <w:lvlJc w:val="left"/>
      <w:pPr>
        <w:tabs>
          <w:tab w:val="num" w:pos="7363"/>
        </w:tabs>
        <w:ind w:left="7363" w:hanging="360"/>
      </w:pPr>
      <w:rPr>
        <w:rFonts w:ascii="Symbol" w:hAnsi="Symbol" w:hint="default"/>
        <w:sz w:val="20"/>
      </w:rPr>
    </w:lvl>
    <w:lvl w:ilvl="6">
      <w:start w:val="1"/>
      <w:numFmt w:val="bullet"/>
      <w:lvlText w:val=""/>
      <w:lvlJc w:val="left"/>
      <w:pPr>
        <w:tabs>
          <w:tab w:val="num" w:pos="8083"/>
        </w:tabs>
        <w:ind w:left="8083" w:hanging="360"/>
      </w:pPr>
      <w:rPr>
        <w:rFonts w:ascii="Symbol" w:hAnsi="Symbol" w:hint="default"/>
        <w:sz w:val="20"/>
      </w:rPr>
    </w:lvl>
    <w:lvl w:ilvl="7">
      <w:start w:val="1"/>
      <w:numFmt w:val="bullet"/>
      <w:lvlText w:val=""/>
      <w:lvlJc w:val="left"/>
      <w:pPr>
        <w:tabs>
          <w:tab w:val="num" w:pos="8803"/>
        </w:tabs>
        <w:ind w:left="8803" w:hanging="360"/>
      </w:pPr>
      <w:rPr>
        <w:rFonts w:ascii="Symbol" w:hAnsi="Symbol" w:hint="default"/>
        <w:sz w:val="20"/>
      </w:rPr>
    </w:lvl>
    <w:lvl w:ilvl="8">
      <w:start w:val="1"/>
      <w:numFmt w:val="bullet"/>
      <w:lvlText w:val=""/>
      <w:lvlJc w:val="left"/>
      <w:pPr>
        <w:tabs>
          <w:tab w:val="num" w:pos="9523"/>
        </w:tabs>
        <w:ind w:left="9523" w:hanging="360"/>
      </w:pPr>
      <w:rPr>
        <w:rFonts w:ascii="Symbol" w:hAnsi="Symbol" w:hint="default"/>
        <w:sz w:val="20"/>
      </w:rPr>
    </w:lvl>
  </w:abstractNum>
  <w:abstractNum w:abstractNumId="5" w15:restartNumberingAfterBreak="0">
    <w:nsid w:val="0CBD73B3"/>
    <w:multiLevelType w:val="hybridMultilevel"/>
    <w:tmpl w:val="1BBC6124"/>
    <w:lvl w:ilvl="0" w:tplc="040E0005">
      <w:start w:val="1"/>
      <w:numFmt w:val="bullet"/>
      <w:lvlText w:val=""/>
      <w:lvlJc w:val="left"/>
      <w:pPr>
        <w:ind w:left="1080" w:hanging="360"/>
      </w:pPr>
      <w:rPr>
        <w:rFonts w:ascii="Wingdings" w:hAnsi="Wingdings" w:hint="default"/>
      </w:rPr>
    </w:lvl>
    <w:lvl w:ilvl="1" w:tplc="508A4CF2">
      <w:numFmt w:val="bullet"/>
      <w:lvlText w:val=""/>
      <w:lvlJc w:val="left"/>
      <w:pPr>
        <w:ind w:left="2472" w:hanging="1032"/>
      </w:pPr>
      <w:rPr>
        <w:rFonts w:ascii="Times New Roman" w:eastAsiaTheme="minorHAnsi" w:hAnsi="Times New Roman" w:cs="Times New Roman" w:hint="default"/>
      </w:rPr>
    </w:lvl>
    <w:lvl w:ilvl="2" w:tplc="3A7E4440">
      <w:numFmt w:val="bullet"/>
      <w:lvlText w:val="-"/>
      <w:lvlJc w:val="left"/>
      <w:pPr>
        <w:ind w:left="2520" w:hanging="360"/>
      </w:pPr>
      <w:rPr>
        <w:rFonts w:ascii="Times New Roman" w:eastAsia="Calibri" w:hAnsi="Times New Roman" w:cs="Times New Roman"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0ED5413A"/>
    <w:multiLevelType w:val="hybridMultilevel"/>
    <w:tmpl w:val="EB36175E"/>
    <w:lvl w:ilvl="0" w:tplc="040E0001">
      <w:start w:val="1"/>
      <w:numFmt w:val="bullet"/>
      <w:lvlText w:val=""/>
      <w:lvlJc w:val="left"/>
      <w:pPr>
        <w:ind w:left="1068" w:hanging="360"/>
      </w:pPr>
      <w:rPr>
        <w:rFonts w:ascii="Symbol" w:hAnsi="Symbol" w:hint="default"/>
      </w:rPr>
    </w:lvl>
    <w:lvl w:ilvl="1" w:tplc="040E0005">
      <w:start w:val="1"/>
      <w:numFmt w:val="bullet"/>
      <w:lvlText w:val=""/>
      <w:lvlJc w:val="left"/>
      <w:pPr>
        <w:ind w:left="1788" w:hanging="360"/>
      </w:pPr>
      <w:rPr>
        <w:rFonts w:ascii="Wingdings" w:hAnsi="Wingdings" w:hint="default"/>
      </w:rPr>
    </w:lvl>
    <w:lvl w:ilvl="2" w:tplc="040E000B">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21503062"/>
    <w:multiLevelType w:val="hybridMultilevel"/>
    <w:tmpl w:val="CDC6BFCA"/>
    <w:lvl w:ilvl="0" w:tplc="92D8FB9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59D303C"/>
    <w:multiLevelType w:val="hybridMultilevel"/>
    <w:tmpl w:val="6CBA900A"/>
    <w:lvl w:ilvl="0" w:tplc="040E0005">
      <w:start w:val="1"/>
      <w:numFmt w:val="bullet"/>
      <w:lvlText w:val=""/>
      <w:lvlJc w:val="left"/>
      <w:pPr>
        <w:ind w:left="1428" w:hanging="360"/>
      </w:pPr>
      <w:rPr>
        <w:rFonts w:ascii="Wingdings" w:hAnsi="Wingdings"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2BBB4EF1"/>
    <w:multiLevelType w:val="hybridMultilevel"/>
    <w:tmpl w:val="76201B4A"/>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E0716A"/>
    <w:multiLevelType w:val="hybridMultilevel"/>
    <w:tmpl w:val="A9C8EC1E"/>
    <w:lvl w:ilvl="0" w:tplc="0290ADCC">
      <w:start w:val="1"/>
      <w:numFmt w:val="decimal"/>
      <w:lvlText w:val="%1."/>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DA17D6F"/>
    <w:multiLevelType w:val="hybridMultilevel"/>
    <w:tmpl w:val="B22CC9A4"/>
    <w:lvl w:ilvl="0" w:tplc="FA7AA70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1C61A9A"/>
    <w:multiLevelType w:val="hybridMultilevel"/>
    <w:tmpl w:val="742E666C"/>
    <w:lvl w:ilvl="0" w:tplc="21A4D9C8">
      <w:start w:val="2"/>
      <w:numFmt w:val="bullet"/>
      <w:lvlText w:val="-"/>
      <w:lvlJc w:val="left"/>
      <w:pPr>
        <w:ind w:left="1113" w:hanging="405"/>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43834D11"/>
    <w:multiLevelType w:val="hybridMultilevel"/>
    <w:tmpl w:val="9FF29074"/>
    <w:lvl w:ilvl="0" w:tplc="F5344F1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EB37CC"/>
    <w:multiLevelType w:val="hybridMultilevel"/>
    <w:tmpl w:val="A0FEE2A6"/>
    <w:lvl w:ilvl="0" w:tplc="FA7AA706">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515D26EE"/>
    <w:multiLevelType w:val="hybridMultilevel"/>
    <w:tmpl w:val="8286E136"/>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50E51C5"/>
    <w:multiLevelType w:val="hybridMultilevel"/>
    <w:tmpl w:val="94A855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7CE4AAA"/>
    <w:multiLevelType w:val="hybridMultilevel"/>
    <w:tmpl w:val="4176A46C"/>
    <w:lvl w:ilvl="0" w:tplc="040E0005">
      <w:start w:val="1"/>
      <w:numFmt w:val="bullet"/>
      <w:lvlText w:val=""/>
      <w:lvlJc w:val="left"/>
      <w:pPr>
        <w:ind w:left="1143" w:hanging="360"/>
      </w:pPr>
      <w:rPr>
        <w:rFonts w:ascii="Wingdings" w:hAnsi="Wingdings"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18" w15:restartNumberingAfterBreak="0">
    <w:nsid w:val="58283232"/>
    <w:multiLevelType w:val="hybridMultilevel"/>
    <w:tmpl w:val="ED0C8008"/>
    <w:lvl w:ilvl="0" w:tplc="FA7AA706">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58376C07"/>
    <w:multiLevelType w:val="hybridMultilevel"/>
    <w:tmpl w:val="C16A7172"/>
    <w:lvl w:ilvl="0" w:tplc="AC34CA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C9D4C3B"/>
    <w:multiLevelType w:val="hybridMultilevel"/>
    <w:tmpl w:val="6FC2C328"/>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0AA3148"/>
    <w:multiLevelType w:val="hybridMultilevel"/>
    <w:tmpl w:val="A678C250"/>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19730E7"/>
    <w:multiLevelType w:val="hybridMultilevel"/>
    <w:tmpl w:val="17E28A0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8486C7B"/>
    <w:multiLevelType w:val="hybridMultilevel"/>
    <w:tmpl w:val="10E235DC"/>
    <w:lvl w:ilvl="0" w:tplc="FA7AA70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8BD32C7"/>
    <w:multiLevelType w:val="hybridMultilevel"/>
    <w:tmpl w:val="7B0CDE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CD260BF"/>
    <w:multiLevelType w:val="hybridMultilevel"/>
    <w:tmpl w:val="09C07B1E"/>
    <w:lvl w:ilvl="0" w:tplc="040E0001">
      <w:start w:val="1"/>
      <w:numFmt w:val="bullet"/>
      <w:lvlText w:val=""/>
      <w:lvlJc w:val="left"/>
      <w:pPr>
        <w:ind w:left="1113" w:hanging="405"/>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6" w15:restartNumberingAfterBreak="0">
    <w:nsid w:val="7D7F3D5D"/>
    <w:multiLevelType w:val="hybridMultilevel"/>
    <w:tmpl w:val="A40615FC"/>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DB42FD3"/>
    <w:multiLevelType w:val="hybridMultilevel"/>
    <w:tmpl w:val="A3127D28"/>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13"/>
  </w:num>
  <w:num w:numId="5">
    <w:abstractNumId w:val="4"/>
  </w:num>
  <w:num w:numId="6">
    <w:abstractNumId w:val="25"/>
  </w:num>
  <w:num w:numId="7">
    <w:abstractNumId w:val="12"/>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lvlOverride w:ilvl="0"/>
    <w:lvlOverride w:ilvl="1">
      <w:startOverride w:val="1"/>
    </w:lvlOverride>
    <w:lvlOverride w:ilvl="2"/>
    <w:lvlOverride w:ilvl="3"/>
    <w:lvlOverride w:ilvl="4"/>
    <w:lvlOverride w:ilvl="5"/>
    <w:lvlOverride w:ilvl="6"/>
    <w:lvlOverride w:ilvl="7"/>
    <w:lvlOverride w:ilvl="8"/>
  </w:num>
  <w:num w:numId="12">
    <w:abstractNumId w:val="10"/>
  </w:num>
  <w:num w:numId="13">
    <w:abstractNumId w:val="18"/>
  </w:num>
  <w:num w:numId="14">
    <w:abstractNumId w:val="26"/>
  </w:num>
  <w:num w:numId="15">
    <w:abstractNumId w:val="7"/>
  </w:num>
  <w:num w:numId="16">
    <w:abstractNumId w:val="11"/>
  </w:num>
  <w:num w:numId="17">
    <w:abstractNumId w:val="23"/>
  </w:num>
  <w:num w:numId="18">
    <w:abstractNumId w:val="14"/>
  </w:num>
  <w:num w:numId="19">
    <w:abstractNumId w:val="9"/>
  </w:num>
  <w:num w:numId="20">
    <w:abstractNumId w:val="0"/>
  </w:num>
  <w:num w:numId="21">
    <w:abstractNumId w:val="16"/>
  </w:num>
  <w:num w:numId="22">
    <w:abstractNumId w:val="27"/>
  </w:num>
  <w:num w:numId="23">
    <w:abstractNumId w:val="6"/>
  </w:num>
  <w:num w:numId="24">
    <w:abstractNumId w:val="24"/>
  </w:num>
  <w:num w:numId="25">
    <w:abstractNumId w:val="5"/>
  </w:num>
  <w:num w:numId="26">
    <w:abstractNumId w:val="17"/>
  </w:num>
  <w:num w:numId="27">
    <w:abstractNumId w:val="8"/>
  </w:num>
  <w:num w:numId="28">
    <w:abstractNumId w:val="3"/>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F2"/>
    <w:rsid w:val="000027BC"/>
    <w:rsid w:val="00020C48"/>
    <w:rsid w:val="000318D2"/>
    <w:rsid w:val="00050CD5"/>
    <w:rsid w:val="00063D64"/>
    <w:rsid w:val="00063EE2"/>
    <w:rsid w:val="00071B8F"/>
    <w:rsid w:val="000816EB"/>
    <w:rsid w:val="00093AB6"/>
    <w:rsid w:val="000B0567"/>
    <w:rsid w:val="000D5481"/>
    <w:rsid w:val="000D550B"/>
    <w:rsid w:val="000F3238"/>
    <w:rsid w:val="00104865"/>
    <w:rsid w:val="0012687C"/>
    <w:rsid w:val="0015031B"/>
    <w:rsid w:val="00150CF7"/>
    <w:rsid w:val="0015471C"/>
    <w:rsid w:val="0015523A"/>
    <w:rsid w:val="00195796"/>
    <w:rsid w:val="001A5BC4"/>
    <w:rsid w:val="001B1166"/>
    <w:rsid w:val="001E34EB"/>
    <w:rsid w:val="0020616B"/>
    <w:rsid w:val="0022130F"/>
    <w:rsid w:val="0022676D"/>
    <w:rsid w:val="00226FDE"/>
    <w:rsid w:val="002724E1"/>
    <w:rsid w:val="002A29B7"/>
    <w:rsid w:val="002D548E"/>
    <w:rsid w:val="00301310"/>
    <w:rsid w:val="00312357"/>
    <w:rsid w:val="00325C12"/>
    <w:rsid w:val="00351DDB"/>
    <w:rsid w:val="00352D1E"/>
    <w:rsid w:val="00386F5C"/>
    <w:rsid w:val="00392384"/>
    <w:rsid w:val="003B0B8D"/>
    <w:rsid w:val="003E5E5E"/>
    <w:rsid w:val="00404B4B"/>
    <w:rsid w:val="00411D5F"/>
    <w:rsid w:val="004419D1"/>
    <w:rsid w:val="00446CB8"/>
    <w:rsid w:val="004509B3"/>
    <w:rsid w:val="004922BD"/>
    <w:rsid w:val="004B3C61"/>
    <w:rsid w:val="004B6248"/>
    <w:rsid w:val="004E7741"/>
    <w:rsid w:val="00532046"/>
    <w:rsid w:val="00547A53"/>
    <w:rsid w:val="00554F3F"/>
    <w:rsid w:val="0055697A"/>
    <w:rsid w:val="00585CD8"/>
    <w:rsid w:val="00587C90"/>
    <w:rsid w:val="005B06A2"/>
    <w:rsid w:val="005B3326"/>
    <w:rsid w:val="005C14FE"/>
    <w:rsid w:val="005C62C7"/>
    <w:rsid w:val="005D4A08"/>
    <w:rsid w:val="00604419"/>
    <w:rsid w:val="00615FCA"/>
    <w:rsid w:val="00617115"/>
    <w:rsid w:val="0062736B"/>
    <w:rsid w:val="00632122"/>
    <w:rsid w:val="00650C27"/>
    <w:rsid w:val="00654CF9"/>
    <w:rsid w:val="00676E9F"/>
    <w:rsid w:val="00681C00"/>
    <w:rsid w:val="006A45B6"/>
    <w:rsid w:val="006C4B23"/>
    <w:rsid w:val="006C6EB5"/>
    <w:rsid w:val="006D5908"/>
    <w:rsid w:val="006E1A19"/>
    <w:rsid w:val="006F460D"/>
    <w:rsid w:val="006F46AD"/>
    <w:rsid w:val="006F46FC"/>
    <w:rsid w:val="00735EB1"/>
    <w:rsid w:val="0074113E"/>
    <w:rsid w:val="00744481"/>
    <w:rsid w:val="00747872"/>
    <w:rsid w:val="00751A4E"/>
    <w:rsid w:val="007602B4"/>
    <w:rsid w:val="0076050F"/>
    <w:rsid w:val="007649F5"/>
    <w:rsid w:val="007676FB"/>
    <w:rsid w:val="00770EB4"/>
    <w:rsid w:val="007712F7"/>
    <w:rsid w:val="00783D71"/>
    <w:rsid w:val="00795025"/>
    <w:rsid w:val="007B25B8"/>
    <w:rsid w:val="007C51BD"/>
    <w:rsid w:val="007D2267"/>
    <w:rsid w:val="007D4CF4"/>
    <w:rsid w:val="00856A1C"/>
    <w:rsid w:val="00861AA1"/>
    <w:rsid w:val="00865788"/>
    <w:rsid w:val="00867E10"/>
    <w:rsid w:val="00874056"/>
    <w:rsid w:val="008A625E"/>
    <w:rsid w:val="008E5F98"/>
    <w:rsid w:val="008E7D96"/>
    <w:rsid w:val="0090494C"/>
    <w:rsid w:val="0093269E"/>
    <w:rsid w:val="00941307"/>
    <w:rsid w:val="00967431"/>
    <w:rsid w:val="0097184A"/>
    <w:rsid w:val="00991AE3"/>
    <w:rsid w:val="00993825"/>
    <w:rsid w:val="009B6B09"/>
    <w:rsid w:val="009C3ADD"/>
    <w:rsid w:val="009C6FA2"/>
    <w:rsid w:val="009D6CD4"/>
    <w:rsid w:val="009D6FD5"/>
    <w:rsid w:val="009F1C91"/>
    <w:rsid w:val="009F540D"/>
    <w:rsid w:val="009F7A30"/>
    <w:rsid w:val="00A109EE"/>
    <w:rsid w:val="00A16229"/>
    <w:rsid w:val="00A4489D"/>
    <w:rsid w:val="00A45ED5"/>
    <w:rsid w:val="00A5768E"/>
    <w:rsid w:val="00A75DB0"/>
    <w:rsid w:val="00A918B9"/>
    <w:rsid w:val="00AC13B3"/>
    <w:rsid w:val="00AC4C65"/>
    <w:rsid w:val="00AD122C"/>
    <w:rsid w:val="00AD6ABE"/>
    <w:rsid w:val="00AD76AE"/>
    <w:rsid w:val="00B0282A"/>
    <w:rsid w:val="00B02D31"/>
    <w:rsid w:val="00B05ACE"/>
    <w:rsid w:val="00B172AF"/>
    <w:rsid w:val="00B254E0"/>
    <w:rsid w:val="00B50EB6"/>
    <w:rsid w:val="00B52583"/>
    <w:rsid w:val="00B53CBB"/>
    <w:rsid w:val="00B63BC4"/>
    <w:rsid w:val="00B6633D"/>
    <w:rsid w:val="00B705EF"/>
    <w:rsid w:val="00B7313F"/>
    <w:rsid w:val="00B75B4B"/>
    <w:rsid w:val="00B80E4F"/>
    <w:rsid w:val="00B85AFF"/>
    <w:rsid w:val="00B90FDD"/>
    <w:rsid w:val="00B934A8"/>
    <w:rsid w:val="00BF27AF"/>
    <w:rsid w:val="00C12046"/>
    <w:rsid w:val="00C267CD"/>
    <w:rsid w:val="00C34C35"/>
    <w:rsid w:val="00C45172"/>
    <w:rsid w:val="00C54985"/>
    <w:rsid w:val="00C7402C"/>
    <w:rsid w:val="00C74F47"/>
    <w:rsid w:val="00CA3614"/>
    <w:rsid w:val="00CA4029"/>
    <w:rsid w:val="00CA58F7"/>
    <w:rsid w:val="00CB49AE"/>
    <w:rsid w:val="00D079C8"/>
    <w:rsid w:val="00D10766"/>
    <w:rsid w:val="00D11AC2"/>
    <w:rsid w:val="00D1373A"/>
    <w:rsid w:val="00D25E7F"/>
    <w:rsid w:val="00D262BF"/>
    <w:rsid w:val="00D6135F"/>
    <w:rsid w:val="00D613BD"/>
    <w:rsid w:val="00D62F13"/>
    <w:rsid w:val="00D66565"/>
    <w:rsid w:val="00D70857"/>
    <w:rsid w:val="00D735F9"/>
    <w:rsid w:val="00DA5563"/>
    <w:rsid w:val="00DC1185"/>
    <w:rsid w:val="00DD3E49"/>
    <w:rsid w:val="00DE4582"/>
    <w:rsid w:val="00E03372"/>
    <w:rsid w:val="00E30F22"/>
    <w:rsid w:val="00E323EB"/>
    <w:rsid w:val="00E37C71"/>
    <w:rsid w:val="00E50722"/>
    <w:rsid w:val="00E7220F"/>
    <w:rsid w:val="00EC35C2"/>
    <w:rsid w:val="00EC4677"/>
    <w:rsid w:val="00ED638E"/>
    <w:rsid w:val="00F0141E"/>
    <w:rsid w:val="00F06B4A"/>
    <w:rsid w:val="00F10BFC"/>
    <w:rsid w:val="00F20150"/>
    <w:rsid w:val="00F32B71"/>
    <w:rsid w:val="00F84C14"/>
    <w:rsid w:val="00FB1333"/>
    <w:rsid w:val="00FB3016"/>
    <w:rsid w:val="00FC5A99"/>
    <w:rsid w:val="00FC6CF2"/>
    <w:rsid w:val="00FD4828"/>
    <w:rsid w:val="00FE16F6"/>
    <w:rsid w:val="00FF237B"/>
    <w:rsid w:val="00FF3765"/>
    <w:rsid w:val="00FF54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6C72F-4ACB-4074-9A9E-915DC6E1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6CF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FC6CF2"/>
    <w:pPr>
      <w:tabs>
        <w:tab w:val="center" w:pos="4536"/>
        <w:tab w:val="right" w:pos="9072"/>
      </w:tabs>
      <w:spacing w:after="0" w:line="240" w:lineRule="auto"/>
    </w:pPr>
  </w:style>
  <w:style w:type="character" w:customStyle="1" w:styleId="llbChar">
    <w:name w:val="Élőláb Char"/>
    <w:basedOn w:val="Bekezdsalapbettpusa"/>
    <w:link w:val="llb"/>
    <w:uiPriority w:val="99"/>
    <w:rsid w:val="00FC6CF2"/>
  </w:style>
  <w:style w:type="paragraph" w:styleId="lfej">
    <w:name w:val="header"/>
    <w:basedOn w:val="Norml"/>
    <w:link w:val="lfejChar"/>
    <w:uiPriority w:val="99"/>
    <w:unhideWhenUsed/>
    <w:rsid w:val="00FC6CF2"/>
    <w:pPr>
      <w:tabs>
        <w:tab w:val="center" w:pos="4536"/>
        <w:tab w:val="right" w:pos="9072"/>
      </w:tabs>
      <w:spacing w:after="0" w:line="240" w:lineRule="auto"/>
    </w:pPr>
  </w:style>
  <w:style w:type="character" w:customStyle="1" w:styleId="lfejChar">
    <w:name w:val="Élőfej Char"/>
    <w:basedOn w:val="Bekezdsalapbettpusa"/>
    <w:link w:val="lfej"/>
    <w:uiPriority w:val="99"/>
    <w:rsid w:val="00FC6CF2"/>
  </w:style>
  <w:style w:type="character" w:styleId="Hiperhivatkozs">
    <w:name w:val="Hyperlink"/>
    <w:basedOn w:val="Bekezdsalapbettpusa"/>
    <w:uiPriority w:val="99"/>
    <w:unhideWhenUsed/>
    <w:rsid w:val="00FC6CF2"/>
    <w:rPr>
      <w:color w:val="0000FF" w:themeColor="hyperlink"/>
      <w:u w:val="single"/>
    </w:rPr>
  </w:style>
  <w:style w:type="paragraph" w:customStyle="1" w:styleId="wordsection1">
    <w:name w:val="wordsection1"/>
    <w:basedOn w:val="Norml"/>
    <w:uiPriority w:val="99"/>
    <w:rsid w:val="009D6FD5"/>
    <w:pPr>
      <w:spacing w:after="0" w:line="240" w:lineRule="auto"/>
    </w:pPr>
    <w:rPr>
      <w:rFonts w:ascii="Times New Roman" w:hAnsi="Times New Roman" w:cs="Times New Roman"/>
      <w:sz w:val="24"/>
      <w:szCs w:val="24"/>
      <w:lang w:eastAsia="hu-HU"/>
    </w:rPr>
  </w:style>
  <w:style w:type="paragraph" w:customStyle="1" w:styleId="Default">
    <w:name w:val="Default"/>
    <w:rsid w:val="0020616B"/>
    <w:pPr>
      <w:autoSpaceDE w:val="0"/>
      <w:autoSpaceDN w:val="0"/>
      <w:adjustRightInd w:val="0"/>
      <w:spacing w:after="0" w:line="240" w:lineRule="auto"/>
    </w:pPr>
    <w:rPr>
      <w:rFonts w:ascii="EU Albertina" w:hAnsi="EU Albertina" w:cs="EU Albertina"/>
      <w:color w:val="000000"/>
      <w:sz w:val="24"/>
      <w:szCs w:val="24"/>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3C61"/>
    <w:pPr>
      <w:ind w:left="720"/>
      <w:contextualSpacing/>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rsid w:val="00FC5A99"/>
  </w:style>
  <w:style w:type="character" w:styleId="Lbjegyzet-hivatkozs">
    <w:name w:val="footnote reference"/>
    <w:aliases w:val="BVI fnr,Footnote symbol,Footnote,Char1 Char Char Char Char,Footnote Reference/,EN Footnote Reference,Times 10 Point,Exposant 3 Point,Footnote reference number,note TESI,stylish,SUPERS,number,no...,Footnote Reference Superscript,Ref"/>
    <w:basedOn w:val="Bekezdsalapbettpusa"/>
    <w:link w:val="FootnotesymbolCarZchn"/>
    <w:uiPriority w:val="99"/>
    <w:qFormat/>
    <w:rsid w:val="006A45B6"/>
    <w:rPr>
      <w:vertAlign w:val="superscript"/>
    </w:rPr>
  </w:style>
  <w:style w:type="paragraph" w:styleId="Lbjegyzetszveg">
    <w:name w:val="footnote text"/>
    <w:aliases w:val="Footnote Text Char Char,Footnote Text Char Char Char Char,Footnote Text1 Char,Footnote Text1,Footnote Text Char Char Char,Footnote Text1 Char Char Char,Footnote Text1 Char Char Char Char Char Char Char Char,Char Char Char"/>
    <w:basedOn w:val="Norml"/>
    <w:link w:val="LbjegyzetszvegChar"/>
    <w:uiPriority w:val="99"/>
    <w:qFormat/>
    <w:rsid w:val="006A45B6"/>
    <w:pPr>
      <w:spacing w:after="0" w:line="240" w:lineRule="auto"/>
    </w:pPr>
    <w:rPr>
      <w:rFonts w:ascii="CG Times" w:eastAsia="Times New Roman" w:hAnsi="CG Times" w:cs="CG Times"/>
      <w:sz w:val="20"/>
      <w:szCs w:val="20"/>
      <w:lang w:eastAsia="hu-HU"/>
    </w:rPr>
  </w:style>
  <w:style w:type="character" w:customStyle="1" w:styleId="LbjegyzetszvegChar">
    <w:name w:val="Lábjegyzetszöveg Char"/>
    <w:aliases w:val="Footnote Text Char Char Char1,Footnote Text Char Char Char Char Char,Footnote Text1 Char Char,Footnote Text1 Char1,Footnote Text Char Char Char Char1,Footnote Text1 Char Char Char Char,Char Char Char Char"/>
    <w:basedOn w:val="Bekezdsalapbettpusa"/>
    <w:link w:val="Lbjegyzetszveg"/>
    <w:uiPriority w:val="99"/>
    <w:rsid w:val="006A45B6"/>
    <w:rPr>
      <w:rFonts w:ascii="CG Times" w:eastAsia="Times New Roman" w:hAnsi="CG Times" w:cs="CG Times"/>
      <w:sz w:val="20"/>
      <w:szCs w:val="20"/>
      <w:lang w:eastAsia="hu-HU"/>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
    <w:link w:val="Lbjegyzet-hivatkozs"/>
    <w:uiPriority w:val="99"/>
    <w:qFormat/>
    <w:rsid w:val="006A45B6"/>
    <w:pPr>
      <w:spacing w:after="160" w:line="240" w:lineRule="exact"/>
      <w:jc w:val="both"/>
    </w:pPr>
    <w:rPr>
      <w:vertAlign w:val="superscript"/>
    </w:rPr>
  </w:style>
  <w:style w:type="table" w:styleId="Rcsostblzat">
    <w:name w:val="Table Grid"/>
    <w:basedOn w:val="Normltblzat"/>
    <w:uiPriority w:val="59"/>
    <w:rsid w:val="00B8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CA58F7"/>
    <w:rPr>
      <w:sz w:val="16"/>
      <w:szCs w:val="16"/>
    </w:rPr>
  </w:style>
  <w:style w:type="paragraph" w:styleId="Jegyzetszveg">
    <w:name w:val="annotation text"/>
    <w:basedOn w:val="Norml"/>
    <w:link w:val="JegyzetszvegChar"/>
    <w:uiPriority w:val="99"/>
    <w:semiHidden/>
    <w:unhideWhenUsed/>
    <w:rsid w:val="00CA58F7"/>
    <w:pPr>
      <w:spacing w:line="240" w:lineRule="auto"/>
    </w:pPr>
    <w:rPr>
      <w:sz w:val="20"/>
      <w:szCs w:val="20"/>
    </w:rPr>
  </w:style>
  <w:style w:type="character" w:customStyle="1" w:styleId="JegyzetszvegChar">
    <w:name w:val="Jegyzetszöveg Char"/>
    <w:basedOn w:val="Bekezdsalapbettpusa"/>
    <w:link w:val="Jegyzetszveg"/>
    <w:uiPriority w:val="99"/>
    <w:semiHidden/>
    <w:rsid w:val="00CA58F7"/>
    <w:rPr>
      <w:sz w:val="20"/>
      <w:szCs w:val="20"/>
    </w:rPr>
  </w:style>
  <w:style w:type="paragraph" w:styleId="Megjegyzstrgya">
    <w:name w:val="annotation subject"/>
    <w:basedOn w:val="Jegyzetszveg"/>
    <w:next w:val="Jegyzetszveg"/>
    <w:link w:val="MegjegyzstrgyaChar"/>
    <w:uiPriority w:val="99"/>
    <w:semiHidden/>
    <w:unhideWhenUsed/>
    <w:rsid w:val="00CA58F7"/>
    <w:rPr>
      <w:b/>
      <w:bCs/>
    </w:rPr>
  </w:style>
  <w:style w:type="character" w:customStyle="1" w:styleId="MegjegyzstrgyaChar">
    <w:name w:val="Megjegyzés tárgya Char"/>
    <w:basedOn w:val="JegyzetszvegChar"/>
    <w:link w:val="Megjegyzstrgya"/>
    <w:uiPriority w:val="99"/>
    <w:semiHidden/>
    <w:rsid w:val="00CA58F7"/>
    <w:rPr>
      <w:b/>
      <w:bCs/>
      <w:sz w:val="20"/>
      <w:szCs w:val="20"/>
    </w:rPr>
  </w:style>
  <w:style w:type="paragraph" w:styleId="Buborkszveg">
    <w:name w:val="Balloon Text"/>
    <w:basedOn w:val="Norml"/>
    <w:link w:val="BuborkszvegChar"/>
    <w:uiPriority w:val="99"/>
    <w:semiHidden/>
    <w:unhideWhenUsed/>
    <w:rsid w:val="00CA58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A58F7"/>
    <w:rPr>
      <w:rFonts w:ascii="Tahoma" w:hAnsi="Tahoma" w:cs="Tahoma"/>
      <w:sz w:val="16"/>
      <w:szCs w:val="16"/>
    </w:rPr>
  </w:style>
  <w:style w:type="paragraph" w:styleId="Vltozat">
    <w:name w:val="Revision"/>
    <w:hidden/>
    <w:uiPriority w:val="99"/>
    <w:semiHidden/>
    <w:rsid w:val="00C267CD"/>
    <w:pPr>
      <w:spacing w:after="0" w:line="240" w:lineRule="auto"/>
    </w:pPr>
  </w:style>
  <w:style w:type="paragraph" w:styleId="NormlWeb">
    <w:name w:val="Normal (Web)"/>
    <w:basedOn w:val="Norml"/>
    <w:uiPriority w:val="99"/>
    <w:semiHidden/>
    <w:unhideWhenUsed/>
    <w:rsid w:val="00CA3614"/>
    <w:pPr>
      <w:spacing w:before="100" w:beforeAutospacing="1" w:after="100" w:afterAutospacing="1" w:line="240" w:lineRule="auto"/>
    </w:pPr>
    <w:rPr>
      <w:rFonts w:ascii="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63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5543">
      <w:bodyDiv w:val="1"/>
      <w:marLeft w:val="0"/>
      <w:marRight w:val="0"/>
      <w:marTop w:val="0"/>
      <w:marBottom w:val="0"/>
      <w:divBdr>
        <w:top w:val="none" w:sz="0" w:space="0" w:color="auto"/>
        <w:left w:val="none" w:sz="0" w:space="0" w:color="auto"/>
        <w:bottom w:val="none" w:sz="0" w:space="0" w:color="auto"/>
        <w:right w:val="none" w:sz="0" w:space="0" w:color="auto"/>
      </w:divBdr>
    </w:div>
    <w:div w:id="155802654">
      <w:bodyDiv w:val="1"/>
      <w:marLeft w:val="0"/>
      <w:marRight w:val="0"/>
      <w:marTop w:val="0"/>
      <w:marBottom w:val="0"/>
      <w:divBdr>
        <w:top w:val="none" w:sz="0" w:space="0" w:color="auto"/>
        <w:left w:val="none" w:sz="0" w:space="0" w:color="auto"/>
        <w:bottom w:val="none" w:sz="0" w:space="0" w:color="auto"/>
        <w:right w:val="none" w:sz="0" w:space="0" w:color="auto"/>
      </w:divBdr>
    </w:div>
    <w:div w:id="210192771">
      <w:bodyDiv w:val="1"/>
      <w:marLeft w:val="0"/>
      <w:marRight w:val="0"/>
      <w:marTop w:val="0"/>
      <w:marBottom w:val="0"/>
      <w:divBdr>
        <w:top w:val="none" w:sz="0" w:space="0" w:color="auto"/>
        <w:left w:val="none" w:sz="0" w:space="0" w:color="auto"/>
        <w:bottom w:val="none" w:sz="0" w:space="0" w:color="auto"/>
        <w:right w:val="none" w:sz="0" w:space="0" w:color="auto"/>
      </w:divBdr>
    </w:div>
    <w:div w:id="393546633">
      <w:bodyDiv w:val="1"/>
      <w:marLeft w:val="0"/>
      <w:marRight w:val="0"/>
      <w:marTop w:val="0"/>
      <w:marBottom w:val="0"/>
      <w:divBdr>
        <w:top w:val="none" w:sz="0" w:space="0" w:color="auto"/>
        <w:left w:val="none" w:sz="0" w:space="0" w:color="auto"/>
        <w:bottom w:val="none" w:sz="0" w:space="0" w:color="auto"/>
        <w:right w:val="none" w:sz="0" w:space="0" w:color="auto"/>
      </w:divBdr>
    </w:div>
    <w:div w:id="524098093">
      <w:bodyDiv w:val="1"/>
      <w:marLeft w:val="0"/>
      <w:marRight w:val="0"/>
      <w:marTop w:val="0"/>
      <w:marBottom w:val="0"/>
      <w:divBdr>
        <w:top w:val="none" w:sz="0" w:space="0" w:color="auto"/>
        <w:left w:val="none" w:sz="0" w:space="0" w:color="auto"/>
        <w:bottom w:val="none" w:sz="0" w:space="0" w:color="auto"/>
        <w:right w:val="none" w:sz="0" w:space="0" w:color="auto"/>
      </w:divBdr>
    </w:div>
    <w:div w:id="629360579">
      <w:bodyDiv w:val="1"/>
      <w:marLeft w:val="0"/>
      <w:marRight w:val="0"/>
      <w:marTop w:val="0"/>
      <w:marBottom w:val="0"/>
      <w:divBdr>
        <w:top w:val="none" w:sz="0" w:space="0" w:color="auto"/>
        <w:left w:val="none" w:sz="0" w:space="0" w:color="auto"/>
        <w:bottom w:val="none" w:sz="0" w:space="0" w:color="auto"/>
        <w:right w:val="none" w:sz="0" w:space="0" w:color="auto"/>
      </w:divBdr>
    </w:div>
    <w:div w:id="764501823">
      <w:bodyDiv w:val="1"/>
      <w:marLeft w:val="0"/>
      <w:marRight w:val="0"/>
      <w:marTop w:val="0"/>
      <w:marBottom w:val="0"/>
      <w:divBdr>
        <w:top w:val="none" w:sz="0" w:space="0" w:color="auto"/>
        <w:left w:val="none" w:sz="0" w:space="0" w:color="auto"/>
        <w:bottom w:val="none" w:sz="0" w:space="0" w:color="auto"/>
        <w:right w:val="none" w:sz="0" w:space="0" w:color="auto"/>
      </w:divBdr>
    </w:div>
    <w:div w:id="825242891">
      <w:bodyDiv w:val="1"/>
      <w:marLeft w:val="0"/>
      <w:marRight w:val="0"/>
      <w:marTop w:val="0"/>
      <w:marBottom w:val="0"/>
      <w:divBdr>
        <w:top w:val="none" w:sz="0" w:space="0" w:color="auto"/>
        <w:left w:val="none" w:sz="0" w:space="0" w:color="auto"/>
        <w:bottom w:val="none" w:sz="0" w:space="0" w:color="auto"/>
        <w:right w:val="none" w:sz="0" w:space="0" w:color="auto"/>
      </w:divBdr>
    </w:div>
    <w:div w:id="996615081">
      <w:bodyDiv w:val="1"/>
      <w:marLeft w:val="0"/>
      <w:marRight w:val="0"/>
      <w:marTop w:val="0"/>
      <w:marBottom w:val="0"/>
      <w:divBdr>
        <w:top w:val="none" w:sz="0" w:space="0" w:color="auto"/>
        <w:left w:val="none" w:sz="0" w:space="0" w:color="auto"/>
        <w:bottom w:val="none" w:sz="0" w:space="0" w:color="auto"/>
        <w:right w:val="none" w:sz="0" w:space="0" w:color="auto"/>
      </w:divBdr>
    </w:div>
    <w:div w:id="1094592577">
      <w:bodyDiv w:val="1"/>
      <w:marLeft w:val="0"/>
      <w:marRight w:val="0"/>
      <w:marTop w:val="0"/>
      <w:marBottom w:val="0"/>
      <w:divBdr>
        <w:top w:val="none" w:sz="0" w:space="0" w:color="auto"/>
        <w:left w:val="none" w:sz="0" w:space="0" w:color="auto"/>
        <w:bottom w:val="none" w:sz="0" w:space="0" w:color="auto"/>
        <w:right w:val="none" w:sz="0" w:space="0" w:color="auto"/>
      </w:divBdr>
    </w:div>
    <w:div w:id="1105736723">
      <w:bodyDiv w:val="1"/>
      <w:marLeft w:val="0"/>
      <w:marRight w:val="0"/>
      <w:marTop w:val="0"/>
      <w:marBottom w:val="0"/>
      <w:divBdr>
        <w:top w:val="none" w:sz="0" w:space="0" w:color="auto"/>
        <w:left w:val="none" w:sz="0" w:space="0" w:color="auto"/>
        <w:bottom w:val="none" w:sz="0" w:space="0" w:color="auto"/>
        <w:right w:val="none" w:sz="0" w:space="0" w:color="auto"/>
      </w:divBdr>
    </w:div>
    <w:div w:id="1108740665">
      <w:bodyDiv w:val="1"/>
      <w:marLeft w:val="0"/>
      <w:marRight w:val="0"/>
      <w:marTop w:val="0"/>
      <w:marBottom w:val="0"/>
      <w:divBdr>
        <w:top w:val="none" w:sz="0" w:space="0" w:color="auto"/>
        <w:left w:val="none" w:sz="0" w:space="0" w:color="auto"/>
        <w:bottom w:val="none" w:sz="0" w:space="0" w:color="auto"/>
        <w:right w:val="none" w:sz="0" w:space="0" w:color="auto"/>
      </w:divBdr>
    </w:div>
    <w:div w:id="1412308302">
      <w:bodyDiv w:val="1"/>
      <w:marLeft w:val="0"/>
      <w:marRight w:val="0"/>
      <w:marTop w:val="0"/>
      <w:marBottom w:val="0"/>
      <w:divBdr>
        <w:top w:val="none" w:sz="0" w:space="0" w:color="auto"/>
        <w:left w:val="none" w:sz="0" w:space="0" w:color="auto"/>
        <w:bottom w:val="none" w:sz="0" w:space="0" w:color="auto"/>
        <w:right w:val="none" w:sz="0" w:space="0" w:color="auto"/>
      </w:divBdr>
    </w:div>
    <w:div w:id="1616060908">
      <w:bodyDiv w:val="1"/>
      <w:marLeft w:val="0"/>
      <w:marRight w:val="0"/>
      <w:marTop w:val="0"/>
      <w:marBottom w:val="0"/>
      <w:divBdr>
        <w:top w:val="none" w:sz="0" w:space="0" w:color="auto"/>
        <w:left w:val="none" w:sz="0" w:space="0" w:color="auto"/>
        <w:bottom w:val="none" w:sz="0" w:space="0" w:color="auto"/>
        <w:right w:val="none" w:sz="0" w:space="0" w:color="auto"/>
      </w:divBdr>
    </w:div>
    <w:div w:id="1618489209">
      <w:bodyDiv w:val="1"/>
      <w:marLeft w:val="0"/>
      <w:marRight w:val="0"/>
      <w:marTop w:val="0"/>
      <w:marBottom w:val="0"/>
      <w:divBdr>
        <w:top w:val="none" w:sz="0" w:space="0" w:color="auto"/>
        <w:left w:val="none" w:sz="0" w:space="0" w:color="auto"/>
        <w:bottom w:val="none" w:sz="0" w:space="0" w:color="auto"/>
        <w:right w:val="none" w:sz="0" w:space="0" w:color="auto"/>
      </w:divBdr>
    </w:div>
    <w:div w:id="1671370800">
      <w:bodyDiv w:val="1"/>
      <w:marLeft w:val="0"/>
      <w:marRight w:val="0"/>
      <w:marTop w:val="0"/>
      <w:marBottom w:val="0"/>
      <w:divBdr>
        <w:top w:val="none" w:sz="0" w:space="0" w:color="auto"/>
        <w:left w:val="none" w:sz="0" w:space="0" w:color="auto"/>
        <w:bottom w:val="none" w:sz="0" w:space="0" w:color="auto"/>
        <w:right w:val="none" w:sz="0" w:space="0" w:color="auto"/>
      </w:divBdr>
    </w:div>
    <w:div w:id="2053571162">
      <w:bodyDiv w:val="1"/>
      <w:marLeft w:val="0"/>
      <w:marRight w:val="0"/>
      <w:marTop w:val="0"/>
      <w:marBottom w:val="0"/>
      <w:divBdr>
        <w:top w:val="none" w:sz="0" w:space="0" w:color="auto"/>
        <w:left w:val="none" w:sz="0" w:space="0" w:color="auto"/>
        <w:bottom w:val="none" w:sz="0" w:space="0" w:color="auto"/>
        <w:right w:val="none" w:sz="0" w:space="0" w:color="auto"/>
      </w:divBdr>
    </w:div>
    <w:div w:id="21129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32019L09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ransparency/comitology-register/screen/meetings/CMTD%282021%29858/consult?lang=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ransparency/comitology-register/screen/meetings/CMTD%282021%29420/consult?lang=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ransparency/comitology-register/screen/committees/C37000/consult?lang=hu" TargetMode="External"/><Relationship Id="rId4" Type="http://schemas.openxmlformats.org/officeDocument/2006/relationships/settings" Target="settings.xml"/><Relationship Id="rId9" Type="http://schemas.openxmlformats.org/officeDocument/2006/relationships/hyperlink" Target="https://eur-lex.europa.eu/legal-content/HU/TXT/PDF/?uri=CELEX:52021XC0607(03)&amp;from=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4A2C-B69B-43D6-8934-016F85FB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8501</Characters>
  <Application>Microsoft Office Word</Application>
  <DocSecurity>4</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Szegi Borbála dr.</dc:creator>
  <cp:lastModifiedBy>Bieder Viktória</cp:lastModifiedBy>
  <cp:revision>2</cp:revision>
  <cp:lastPrinted>2021-06-18T09:13:00Z</cp:lastPrinted>
  <dcterms:created xsi:type="dcterms:W3CDTF">2021-12-14T09:07:00Z</dcterms:created>
  <dcterms:modified xsi:type="dcterms:W3CDTF">2021-12-14T09:07:00Z</dcterms:modified>
</cp:coreProperties>
</file>